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1.001024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3596/QĐ-NHCS</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chi trả tiền gửi tiết kiệm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khác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Người gửi tiền xuất trình hồ sơ theo quy định.
- Người gửi tiền nộp giấy rút tiền có chữ ký đúng với chữ ký mẫu đã đăng ký tại NHCSXH.
- NHCSXH kiểm tra hồ sơ, chữ ký đảm bảo đúng, đủ theo quy định.
- NHCSXH chi trả tiền gửi cho Người gửi tiền.
</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Ngay sau khi NHCSXH nơi thực hiện thủ tục nhận được hồ sơ của khách hàng.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Trực tiếp tại trụ sở của NHCSXH hoặc tại địa điểm giao dịch hợp pháp của NHCSXH nơi mở Thẻ tiết kiệm.</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Thẻ Tiết kiệm (01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minh nhân dân hoặc Thẻ căn cước công dân hoặc Hộ chiếu còn thời hạn hiệu lực (01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chi trả tiền gửi tiết kiệm thông qua người đại diện theo pháp luật, hoặc người giám hộ (gọi chung là người đại diện theo pháp luật) thì tùy từng trường hợp, người đại diện theo pháp luật phải xuất trình 01 bản chính để đối chiếu và 01 bản sao có công chứng hoặc chứng thực để lưu giữ tại ngân hàng những giấy tờ sau: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Giấy tờ chứng minh tư cách đại diện của người đại diện theo pháp luật, của người đại diện hợp pháp của pháp nhân là đại diện của Người gửi tiền.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minh nhân dân hoặc Thẻ căn cước công dân hoặc Hộ chiếu còn thời hạn hiệu lực của người đại diện theo pháp luật, của người đại diện hợp pháp của pháp nhân là đại diện của Người gửi tiền.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Quyết định thành lập hoặc Giấy phép hoạt động hoặc Giấy chứng nhận đăng ký doanh nghiệp hoặc Giấy chứng nhận đăng ký kinh doanh hoặc các giấy tờ khác tương đương theo quy định của pháp luật của pháp nhân là người đại diện theo pháp luật của người gửi tiền.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khai sinh của người gửi tiền chưa đủ 14 tuổi thực hiện thông qua người đại diện theo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Chi trả tiền gửi tiết kiệm cho người gửi tiền.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16/2003/QĐ-TTg</w:t>
            </w:r>
          </w:p>
        </w:tc>
        <w:tc>
          <w:p/>
          <w:p>
            <w:pPr>
              <w:spacing w:after="0" w:before="0" w:lineRule="auto" w:line="276"/>
              <w:jc w:val="left"/>
            </w:pPr>
            <w:r>
              <w:rPr>
                <w:rFonts w:ascii="Times New Roman" w:hAnsi="Times New Roman" w:cs="Times New Roman" w:eastAsia="Times New Roman"/>
                <w:b w:val="false"/>
                <w:sz w:val="26"/>
              </w:rPr>
              <w:t>16/2003/QĐ-TTg</w:t>
            </w:r>
          </w:p>
        </w:tc>
        <w:tc>
          <w:p/>
          <w:p>
            <w:pPr>
              <w:spacing w:after="0" w:before="0" w:lineRule="auto" w:line="276"/>
              <w:jc w:val="left"/>
            </w:pPr>
            <w:r>
              <w:rPr>
                <w:rFonts w:ascii="Times New Roman" w:hAnsi="Times New Roman" w:cs="Times New Roman" w:eastAsia="Times New Roman"/>
                <w:b w:val="false"/>
                <w:sz w:val="26"/>
              </w:rPr>
              <w:t>22-01-2003</w:t>
            </w:r>
          </w:p>
        </w:tc>
        <w:tc>
          <w:p/>
        </w:tc>
      </w:tr>
      <w:tr>
        <w:tc>
          <w:p/>
          <w:p>
            <w:pPr>
              <w:spacing w:after="0" w:before="0" w:lineRule="auto" w:line="276"/>
              <w:jc w:val="left"/>
            </w:pPr>
            <w:r>
              <w:rPr>
                <w:rFonts w:ascii="Times New Roman" w:hAnsi="Times New Roman" w:cs="Times New Roman" w:eastAsia="Times New Roman"/>
                <w:b w:val="false"/>
                <w:sz w:val="26"/>
              </w:rPr>
              <w:t>78/2002/NĐ-CP</w:t>
            </w:r>
          </w:p>
        </w:tc>
        <w:tc>
          <w:p/>
          <w:p>
            <w:pPr>
              <w:spacing w:after="0" w:before="0" w:lineRule="auto" w:line="276"/>
              <w:jc w:val="left"/>
            </w:pPr>
            <w:r>
              <w:rPr>
                <w:rFonts w:ascii="Times New Roman" w:hAnsi="Times New Roman" w:cs="Times New Roman" w:eastAsia="Times New Roman"/>
                <w:b w:val="false"/>
                <w:sz w:val="26"/>
              </w:rPr>
              <w:t>Nghị định 78/2002/NĐ-CP</w:t>
            </w:r>
          </w:p>
        </w:tc>
        <w:tc>
          <w:p/>
          <w:p>
            <w:pPr>
              <w:spacing w:after="0" w:before="0" w:lineRule="auto" w:line="276"/>
              <w:jc w:val="left"/>
            </w:pPr>
            <w:r>
              <w:rPr>
                <w:rFonts w:ascii="Times New Roman" w:hAnsi="Times New Roman" w:cs="Times New Roman" w:eastAsia="Times New Roman"/>
                <w:b w:val="false"/>
                <w:sz w:val="26"/>
              </w:rPr>
              <w:t>04-10-2002</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	17/2017/QH14</w:t>
            </w:r>
          </w:p>
        </w:tc>
        <w:tc>
          <w:p/>
          <w:p>
            <w:pPr>
              <w:spacing w:after="0" w:before="0" w:lineRule="auto" w:line="276"/>
              <w:jc w:val="left"/>
            </w:pPr>
            <w:r>
              <w:rPr>
                <w:rFonts w:ascii="Times New Roman" w:hAnsi="Times New Roman" w:cs="Times New Roman" w:eastAsia="Times New Roman"/>
                <w:b w:val="false"/>
                <w:sz w:val="26"/>
              </w:rPr>
              <w:t>Luật 17/2017/QH14</w:t>
            </w:r>
          </w:p>
        </w:tc>
        <w:tc>
          <w:p/>
          <w:p>
            <w:pPr>
              <w:spacing w:after="0" w:before="0" w:lineRule="auto" w:line="276"/>
              <w:jc w:val="left"/>
            </w:pPr>
            <w:r>
              <w:rPr>
                <w:rFonts w:ascii="Times New Roman" w:hAnsi="Times New Roman" w:cs="Times New Roman" w:eastAsia="Times New Roman"/>
                <w:b w:val="false"/>
                <w:sz w:val="26"/>
              </w:rPr>
              <w:t>20-11-2017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3579/NHCS-KHNV</w:t>
            </w:r>
          </w:p>
        </w:tc>
        <w:tc>
          <w:p/>
          <w:p>
            <w:pPr>
              <w:spacing w:after="0" w:before="0" w:lineRule="auto" w:line="276"/>
              <w:jc w:val="left"/>
            </w:pPr>
            <w:r>
              <w:rPr>
                <w:rFonts w:ascii="Times New Roman" w:hAnsi="Times New Roman" w:cs="Times New Roman" w:eastAsia="Times New Roman"/>
                <w:b w:val="false"/>
                <w:sz w:val="26"/>
              </w:rPr>
              <w:t>hướng dẫn tiền gửi tiết kiệm tại Ngân hàng Chính sách xã hộivăn số 3579/NHCS-KHNV</w:t>
            </w:r>
          </w:p>
        </w:tc>
        <w:tc>
          <w:p/>
          <w:p>
            <w:pPr>
              <w:spacing w:after="0" w:before="0" w:lineRule="auto" w:line="276"/>
              <w:jc w:val="left"/>
            </w:pPr>
            <w:r>
              <w:rPr>
                <w:rFonts w:ascii="Times New Roman" w:hAnsi="Times New Roman" w:cs="Times New Roman" w:eastAsia="Times New Roman"/>
                <w:b w:val="false"/>
                <w:sz w:val="26"/>
              </w:rPr>
              <w:t>10-06-2019</w:t>
            </w:r>
          </w:p>
        </w:tc>
        <w:tc>
          <w:p/>
        </w:tc>
      </w:tr>
      <w:tr>
        <w:tc>
          <w:p/>
          <w:p>
            <w:pPr>
              <w:spacing w:after="0" w:before="0" w:lineRule="auto" w:line="276"/>
              <w:jc w:val="left"/>
            </w:pPr>
            <w:r>
              <w:rPr>
                <w:rFonts w:ascii="Times New Roman" w:hAnsi="Times New Roman" w:cs="Times New Roman" w:eastAsia="Times New Roman"/>
                <w:b w:val="false"/>
                <w:sz w:val="26"/>
              </w:rPr>
              <w:t>91/2015/QH13	</w:t>
            </w:r>
          </w:p>
        </w:tc>
        <w:tc>
          <w:p/>
          <w:p>
            <w:pPr>
              <w:spacing w:after="0" w:before="0" w:lineRule="auto" w:line="276"/>
              <w:jc w:val="left"/>
            </w:pPr>
            <w:r>
              <w:rPr>
                <w:rFonts w:ascii="Times New Roman" w:hAnsi="Times New Roman" w:cs="Times New Roman" w:eastAsia="Times New Roman"/>
                <w:b w:val="false"/>
                <w:sz w:val="26"/>
              </w:rPr>
              <w:t>Bộ luật 91/2015/QH13</w:t>
            </w:r>
          </w:p>
        </w:tc>
        <w:tc>
          <w:p/>
          <w:p>
            <w:pPr>
              <w:spacing w:after="0" w:before="0" w:lineRule="auto" w:line="276"/>
              <w:jc w:val="left"/>
            </w:pPr>
            <w:r>
              <w:rPr>
                <w:rFonts w:ascii="Times New Roman" w:hAnsi="Times New Roman" w:cs="Times New Roman" w:eastAsia="Times New Roman"/>
                <w:b w:val="false"/>
                <w:sz w:val="26"/>
              </w:rPr>
              <w:t>24-11-2015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131/2002/QĐ-TTg</w:t>
            </w:r>
          </w:p>
        </w:tc>
        <w:tc>
          <w:p/>
          <w:p>
            <w:pPr>
              <w:spacing w:after="0" w:before="0" w:lineRule="auto" w:line="276"/>
              <w:jc w:val="left"/>
            </w:pPr>
            <w:r>
              <w:rPr>
                <w:rFonts w:ascii="Times New Roman" w:hAnsi="Times New Roman" w:cs="Times New Roman" w:eastAsia="Times New Roman"/>
                <w:b w:val="false"/>
                <w:sz w:val="26"/>
              </w:rPr>
              <w:t>Quyết định 131/2002/QĐ-TTg</w:t>
            </w:r>
          </w:p>
        </w:tc>
        <w:tc>
          <w:p/>
          <w:p>
            <w:pPr>
              <w:spacing w:after="0" w:before="0" w:lineRule="auto" w:line="276"/>
              <w:jc w:val="left"/>
            </w:pPr>
            <w:r>
              <w:rPr>
                <w:rFonts w:ascii="Times New Roman" w:hAnsi="Times New Roman" w:cs="Times New Roman" w:eastAsia="Times New Roman"/>
                <w:b w:val="false"/>
                <w:sz w:val="26"/>
              </w:rPr>
              <w:t>04-10-2002</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48 /2018/TT-NHNN</w:t>
            </w:r>
          </w:p>
        </w:tc>
        <w:tc>
          <w:p/>
          <w:p>
            <w:pPr>
              <w:spacing w:after="0" w:before="0" w:lineRule="auto" w:line="276"/>
              <w:jc w:val="left"/>
            </w:pPr>
            <w:r>
              <w:rPr>
                <w:rFonts w:ascii="Times New Roman" w:hAnsi="Times New Roman" w:cs="Times New Roman" w:eastAsia="Times New Roman"/>
                <w:b w:val="false"/>
                <w:sz w:val="26"/>
              </w:rPr>
              <w:t>Quy định về tiền gửi tiết kiệm</w:t>
            </w:r>
          </w:p>
        </w:tc>
        <w:tc>
          <w:p/>
          <w:p>
            <w:pPr>
              <w:spacing w:after="0" w:before="0" w:lineRule="auto" w:line="276"/>
              <w:jc w:val="left"/>
            </w:pPr>
            <w:r>
              <w:rPr>
                <w:rFonts w:ascii="Times New Roman" w:hAnsi="Times New Roman" w:cs="Times New Roman" w:eastAsia="Times New Roman"/>
                <w:b w:val="false"/>
                <w:sz w:val="26"/>
              </w:rPr>
              <w:t>31-12-2018</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Thông tin hồ sơ, giấy tờ của Người gửi tiền phải khớp đúng thông tin trên Thẻ tiết kiệm và thông tin đã lưu tại NHCSXH.
- Chữ ký trên giấy rút tiền giống chữ ký mẫu lưu tại NHCSXH.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https://thutuc.dichvucong.gov.vn/p/home/dvc-tthc-thu-tuc-hanh-chinh-chi-tiet.html?ma_thu_tuc=1527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2025-11-27T16:31:00Z</dcterms:created>
  <dc:creator>Apache POI</dc:creator>
</cp:coreProperties>
</file>