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vốn\Hỗ trợ sản xuất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Quy hoạch chi tiết và văn bản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hỗ trợ được phê duyệt của cấp có thẩm quyền - Bản chính hoặc bản sao có đóng dấu sao y bản chính của chủ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chi phí hỗ trợ được phê duyệt của cấp có thẩm quyền - Bản chính hoặc bản sao có đóng dấu sao y bản chính của chủ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hỗ trợ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tổng hợp chi phí tạm ứng (Mẫu số 04/QL-TĐSL) – Bản chính.	</w:t>
            </w:r>
          </w:p>
        </w:tc>
        <w:tc>
          <w:p/>
          <w:p>
            <w:pPr>
              <w:spacing w:after="0" w:before="0" w:lineRule="auto" w:line="276"/>
              <w:jc w:val="left"/>
            </w:pPr>
            <w:r>
              <w:rPr>
                <w:rFonts w:ascii="Times New Roman" w:hAnsi="Times New Roman" w:cs="Times New Roman" w:eastAsia="Times New Roman"/>
                <w:b w:val="false"/>
                <w:sz w:val="26"/>
              </w:rPr>
              <w:t>MÉu biÓu sè 04QL-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của Ban QLDA - Bản chính.	</w:t>
            </w:r>
          </w:p>
        </w:tc>
        <w:tc>
          <w:p/>
          <w:p>
            <w:pPr>
              <w:spacing w:after="0" w:before="0" w:lineRule="auto" w:line="276"/>
              <w:jc w:val="left"/>
            </w:pPr>
            <w:r>
              <w:rPr>
                <w:rFonts w:ascii="Times New Roman" w:hAnsi="Times New Roman" w:cs="Times New Roman" w:eastAsia="Times New Roman"/>
                <w:b w:val="false"/>
                <w:sz w:val="26"/>
              </w:rPr>
              <w:t>!MÉu sè 02B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Khi thanh toán vốn: Giấy đề nghị thanh toán của Ban QLDA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nhận tiền hỗ trợ của hộ dân (Mẫu số 04B/QL-TĐSL) - Bản chính.	</w:t>
            </w:r>
          </w:p>
        </w:tc>
        <w:tc>
          <w:p/>
          <w:p>
            <w:pPr>
              <w:spacing w:after="0" w:before="0" w:lineRule="auto" w:line="276"/>
              <w:jc w:val="left"/>
            </w:pPr>
            <w:r>
              <w:rPr>
                <w:rFonts w:ascii="Times New Roman" w:hAnsi="Times New Roman" w:cs="Times New Roman" w:eastAsia="Times New Roman"/>
                <w:b w:val="false"/>
                <w:sz w:val="26"/>
              </w:rPr>
              <w:t>!MÉu biÓu sè 04BQL-T§SL.doc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Ngoài ra: - Đối với khoản hỗ trợ theo phương án sản xuất của hộ dân, hồ sơ cần bổ sung: văn bản giao đất của cấp có thẩm quyền; phương án sản xuất được cơ quan có thẩm quyền cấp huyện phê duyệt. - Hỗ trợ các chương trình khuyến nông, khuyến lâm, khuyến ngư: hồ sơ cần bổ sung hợp đồng ký giữa chủ đầu tư với đơn vị thực hiện.	</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vốn\Hỗ trợ sản xuất,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2025-11-27T16:31:10Z</dcterms:created>
  <dc:creator>Apache POI</dc:creator>
</cp:coreProperties>
</file>