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1.001046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901/QĐ-BXD</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Chấp thuận thiết kế nút giao đấu nối vào đường quốc lộ đang khai thác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Đường bộ</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Nộp hồ sơ TTHC:
Chủ đầu tư dự án xây dựng nút giao đấu nối vào đường quốc lộ đang khai thác gửi hồ sơ đề nghị đến cơ quan có thẩm quyền:
- Đối với quốc lộ do Bộ Xây dựng quản lý:
+ Cục Đường bộ Việt Nam chấp thuận thiết kế nút giao đấu nối vào đường cao tốc, đường quốc lộ được quy hoạch thành cao tốc; 
+ Khu Quản lý đường bộ thực hiện đối với các đường quốc lộ còn lại thuộc phạm vi quản lý;
- Đối với quốc lộ do Uỷ ban nhân dân cấp tỉnh quản lý: Uỷ ban nhân dân cấp tỉnh tổ chức thực hiện chấp thuận thiết kế nút giao đấu nối vào đường quốc lộ đang khai thác.</w:t>
      </w:r>
    </w:p>
    <w:p>
      <w:pPr>
        <w:spacing w:after="0" w:before="0" w:lineRule="auto" w:line="276"/>
        <w:jc w:val="both"/>
      </w:pPr>
      <w:r>
        <w:rPr>
          <w:rFonts w:ascii="Times New Roman" w:hAnsi="Times New Roman" w:cs="Times New Roman" w:eastAsia="Times New Roman"/>
          <w:b w:val="false"/>
          <w:sz w:val="26"/>
        </w:rPr>
        <w:t>b) Giải quyết TTHC:
- Đối với hồ sơ nộp trực tiếp, cơ quan có thẩm quyền thực hiện kiểm tra thành phần hồ sơ, nếu đủ thì tiếp nhận và viết phiếu hẹn trả kết quả, nếu không đủ thì hướng dẫn chủ đầu tư hoàn thiện hồ sơ theo quy định;
- Đối với hồ sơ nộp gián tiếp, trong thời hạn 02 ngày làm việc kể từ ngày nhận được hồ sơ, cơ quan có thẩm quyền kiểm tra thành phần hồ sơ, nếu đủ thì tiếp nhận, nếu không đủ, có văn bản thông báo đến tổ chức, cá nhân để bổ sung, hoàn thiện;
- Trong thời hạn 07 ngày làm việc kể từ khi nhận đủ hồ sơ theo quy định, cơ quan có thẩm quyền tiến hành xem xét hồ sơ, nếu đủ điều kiện thì có văn bản chấp thuận thiết kế nút giao đấu nối vào đường quốc lộ đang khai thác, trường hợp không chấp thuận thì phải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07 ngày làm việc kể từ khi nhận đủ hồ sơ theo quy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07 ngày làm việc kể từ khi nhận đủ hồ sơ theo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07 ngày làm việc kể từ khi nhận đủ hồ sơ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theo quy định</w:t>
            </w:r>
          </w:p>
        </w:tc>
        <w:tc>
          <w:p/>
          <w:p>
            <w:pPr>
              <w:spacing w:after="0" w:before="0" w:lineRule="auto" w:line="276"/>
              <w:jc w:val="left"/>
            </w:pPr>
            <w:r>
              <w:rPr>
                <w:rFonts w:ascii="Times New Roman" w:hAnsi="Times New Roman" w:cs="Times New Roman" w:eastAsia="Times New Roman"/>
                <w:b w:val="false"/>
                <w:sz w:val="26"/>
              </w:rPr>
              <w:t>3_P2.Nidung06.05.2025.docx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Hồ sơ khảo sát, thiết kế bản vẽ thi công công trình nút giao đấu nối vào đường quốc lộ đang khai thác, bao gồm: thuyết minh thiết kế, bản vẽ thiết kế nút giao đấu nối và bản vẽ hoàn trả kết cấu hạ tầng đường quốc lộ, bản vẽ tổ chức giao thông tại nút giao đấu nối, hồ sơ khảo sát địa hình, địa chất; văn bản/quyết định chấp thuận vị trí đấu nối vào quốc lộ đang khai thác trừ vị trí đấu nối không phải chấp thuận theo quy định tại Nghị định quy định chi tiết và hướng dẫn thi hành một số điều của Luật Đường bộ, Điều 77 Luật Trật tự an toàn giao thông đường bộ</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Văn bản giao làm chủ đầu tư dự án xây dựng nút giao đấu nối vào đường quốc lộ đang khai thác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Đường bộ Việt Nam, Khu Quản lý đường bộ,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thiết kế nút giao đấu nối vào đường quốc lộ đang khai thác.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41/2024/TT-BGTVT</w:t>
            </w:r>
          </w:p>
        </w:tc>
        <w:tc>
          <w:p/>
          <w:p>
            <w:pPr>
              <w:spacing w:after="0" w:before="0" w:lineRule="auto" w:line="276"/>
              <w:jc w:val="left"/>
            </w:pPr>
            <w:r>
              <w:rPr>
                <w:rFonts w:ascii="Times New Roman" w:hAnsi="Times New Roman" w:cs="Times New Roman" w:eastAsia="Times New Roman"/>
                <w:b w:val="false"/>
                <w:sz w:val="26"/>
              </w:rPr>
              <w:t>Quy định về quản lý, vận hành, khai thác và bảo trì kết cấu hạ tầng đường bộ</w:t>
            </w:r>
          </w:p>
        </w:tc>
        <w:tc>
          <w:p/>
          <w:p>
            <w:pPr>
              <w:spacing w:after="0" w:before="0" w:lineRule="auto" w:line="276"/>
              <w:jc w:val="left"/>
            </w:pPr>
            <w:r>
              <w:rPr>
                <w:rFonts w:ascii="Times New Roman" w:hAnsi="Times New Roman" w:cs="Times New Roman" w:eastAsia="Times New Roman"/>
                <w:b w:val="false"/>
                <w:sz w:val="26"/>
              </w:rPr>
              <w:t>15-11-2024</w:t>
            </w:r>
          </w:p>
        </w:tc>
        <w:tc>
          <w:p/>
          <w:p>
            <w:pPr>
              <w:spacing w:after="0" w:before="0" w:lineRule="auto" w:line="276"/>
              <w:jc w:val="left"/>
            </w:pPr>
            <w:r>
              <w:rPr>
                <w:rFonts w:ascii="Times New Roman" w:hAnsi="Times New Roman" w:cs="Times New Roman" w:eastAsia="Times New Roman"/>
                <w:b w:val="false"/>
                <w:sz w:val="26"/>
              </w:rPr>
              <w:t>Bộ Giao thông vận tải</w:t>
            </w:r>
          </w:p>
        </w:tc>
      </w:tr>
      <w:tr>
        <w:tc>
          <w:p/>
          <w:p>
            <w:pPr>
              <w:spacing w:after="0" w:before="0" w:lineRule="auto" w:line="276"/>
              <w:jc w:val="left"/>
            </w:pPr>
            <w:r>
              <w:rPr>
                <w:rFonts w:ascii="Times New Roman" w:hAnsi="Times New Roman" w:cs="Times New Roman" w:eastAsia="Times New Roman"/>
                <w:b w:val="false"/>
                <w:sz w:val="26"/>
              </w:rPr>
              <w:t>09/2025/TT-BXD</w:t>
            </w:r>
          </w:p>
        </w:tc>
        <w:tc>
          <w:p/>
          <w:p>
            <w:pPr>
              <w:spacing w:after="0" w:before="0" w:lineRule="auto" w:line="276"/>
              <w:jc w:val="left"/>
            </w:pPr>
            <w:r>
              <w:rPr>
                <w:rFonts w:ascii="Times New Roman" w:hAnsi="Times New Roman" w:cs="Times New Roman" w:eastAsia="Times New Roman"/>
                <w:b w:val="false"/>
                <w:sz w:val="26"/>
              </w:rPr>
              <w:t>Thông tư sửa đổi, bổ sung một số điều của các Thông tư thuộc lĩnh vực quản lý nhà nước của Bộ Xây dựng liên quan đến sắp xếp tổ chức bộ máy, thực hiện chính quyền địa phương hai cấp và phân cấp cho chính quyền địa phương.</w:t>
            </w:r>
          </w:p>
        </w:tc>
        <w:tc>
          <w:p/>
          <w:p>
            <w:pPr>
              <w:spacing w:after="0" w:before="0" w:lineRule="auto" w:line="276"/>
              <w:jc w:val="left"/>
            </w:pPr>
            <w:r>
              <w:rPr>
                <w:rFonts w:ascii="Times New Roman" w:hAnsi="Times New Roman" w:cs="Times New Roman" w:eastAsia="Times New Roman"/>
                <w:b w:val="false"/>
                <w:sz w:val="26"/>
              </w:rPr>
              <w:t>13-06-2025</w:t>
            </w:r>
          </w:p>
        </w:tc>
        <w:tc>
          <w:p/>
          <w:p>
            <w:pPr>
              <w:spacing w:after="0" w:before="0" w:lineRule="auto" w:line="276"/>
              <w:jc w:val="left"/>
            </w:pPr>
            <w:r>
              <w:rPr>
                <w:rFonts w:ascii="Times New Roman" w:hAnsi="Times New Roman" w:cs="Times New Roman" w:eastAsia="Times New Roman"/>
                <w:b w:val="false"/>
                <w:sz w:val="26"/>
              </w:rPr>
              <w:t>Bộ Xây dựng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Vị trí đấu nối được thiết kế, xây dựng tuân thủ quy chuẩn, tiêu chuẩn kỹ thuật; phù hợp với cấp đường và bảo đảm an toàn giao thông, năng lực thông hành của tuyến đường;
- Trường hợp đấu nối đường khác với đường cao tốc, ngoài các quy định trên, khoảng cách giữa các vị trí đấu nối phải tuân thủ quy chuẩn, tiêu chuẩn kỹ thuật về thiết kế đường cao tốc.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https://thutuc.dichvucong.gov.vn/p/home/dvc-tthc-thu-tuc-hanh-chinh-chi-tiet.html?ma_thu_tuc=1561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2025-11-27T16:31:10Z</dcterms:created>
  <dc:creator>Apache POI</dc:creator>
</cp:coreProperties>
</file>