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1.001054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161a/QĐ-NHNN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tăng mức vốn được cấp của chi nhánh ngân hàng nước ngoài và sửa đổi, bổ sung Giấy phép đối với nội dung vốn được cấp của chi nhánh ngân hàng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1. Đối với trường hợp chi nhánh ngân hàng nước ngoài tăng vốn được cấp từ lợi nhuận để lại và các quỹ khác theo quy định của pháp luật:</w:t>
      </w:r>
    </w:p>
    <w:p>
      <w:pPr>
        <w:spacing w:after="0" w:before="0" w:lineRule="auto" w:line="276"/>
        <w:jc w:val="both"/>
      </w:pPr>
      <w:r>
        <w:rPr>
          <w:rFonts w:ascii="Times New Roman" w:hAnsi="Times New Roman" w:cs="Times New Roman" w:eastAsia="Times New Roman"/>
          <w:b w:val="false"/>
          <w:sz w:val="26"/>
        </w:rPr>
        <w:t>Bước 1: Chi nhánh ngân hàng nước ngoài lập 01 bộ hồ sơ theo quy định gửi Ngân hàng Nhà nước (Cục Quản lý, giám sát tổ chức tín dụng hoặc  Ngân hàng Nhà nước Khu vực được phân cấp).</w:t>
      </w:r>
    </w:p>
    <w:p>
      <w:pPr>
        <w:spacing w:after="0" w:before="0" w:lineRule="auto" w:line="276"/>
        <w:jc w:val="both"/>
      </w:pPr>
      <w:r>
        <w:rPr>
          <w:rFonts w:ascii="Times New Roman" w:hAnsi="Times New Roman" w:cs="Times New Roman" w:eastAsia="Times New Roman"/>
          <w:b w:val="false"/>
          <w:sz w:val="26"/>
        </w:rPr>
        <w:t>Bước 2: Trường hợp hồ sơ chưa đầy đủ, hợp lệ, trong thời hạn 07 ngày làm việc kể từ ngày nhận được hồ sơ, Ngân hàng Nhà nước có văn bản yêu cầu chi nhánh ngân hàng nước ngoài bổ sung hồ sơ.</w:t>
      </w:r>
    </w:p>
    <w:p>
      <w:pPr>
        <w:spacing w:after="0" w:before="0" w:lineRule="auto" w:line="276"/>
        <w:jc w:val="both"/>
      </w:pPr>
      <w:r>
        <w:rPr>
          <w:rFonts w:ascii="Times New Roman" w:hAnsi="Times New Roman" w:cs="Times New Roman" w:eastAsia="Times New Roman"/>
          <w:b w:val="false"/>
          <w:sz w:val="26"/>
        </w:rPr>
        <w:t>Bước 3: Trong thời hạn 40 ngày làm việc kể từ ngày nhận đủ hồ sơ hợp lệ, Ngân hàng Nhà nước xem xét, có quyết định sửa đổi Giấy phép; trường hợp không chấp thuận, Ngân hàng Nhà nước có văn bản trả lời và nêu rõ lý do.</w:t>
      </w:r>
    </w:p>
    <w:p>
      <w:pPr>
        <w:shd w:val="clear" w:color="auto" w:fill="F2F6F9"/>
        <w:spacing w:after="0" w:before="120" w:lineRule="auto" w:line="276"/>
        <w:jc w:val="both"/>
      </w:pPr>
      <w:r>
        <w:rPr>
          <w:rFonts w:ascii="Times New Roman" w:hAnsi="Times New Roman" w:cs="Times New Roman" w:eastAsia="Times New Roman"/>
          <w:b w:val="true"/>
          <w:sz w:val="26"/>
        </w:rPr>
        <w:t>2. Đối với trường hợp chi nhánh ngân hàng nước ngoài tăng vốn do ngân hàng mẹ cấp bổ sung:</w:t>
      </w:r>
    </w:p>
    <w:p>
      <w:pPr>
        <w:spacing w:after="0" w:before="0" w:lineRule="auto" w:line="276"/>
        <w:jc w:val="both"/>
      </w:pPr>
      <w:r>
        <w:rPr>
          <w:rFonts w:ascii="Times New Roman" w:hAnsi="Times New Roman" w:cs="Times New Roman" w:eastAsia="Times New Roman"/>
          <w:b w:val="false"/>
          <w:sz w:val="26"/>
        </w:rPr>
        <w:t>Bước 1: Chi nhánh ngân hàng nước ngoài lập 01 bộ hồ sơ theo quy định gửi Ngân hàng Nhà nước (Cục Quản lý giám sát, tổ chức tín dụng hoặc  Ngân hàng Nhà nước Khu vực phân cấp).</w:t>
      </w:r>
    </w:p>
    <w:p>
      <w:pPr>
        <w:spacing w:after="0" w:before="0" w:lineRule="auto" w:line="276"/>
        <w:jc w:val="both"/>
      </w:pPr>
      <w:r>
        <w:rPr>
          <w:rFonts w:ascii="Times New Roman" w:hAnsi="Times New Roman" w:cs="Times New Roman" w:eastAsia="Times New Roman"/>
          <w:b w:val="false"/>
          <w:sz w:val="26"/>
        </w:rPr>
        <w:t>Bước 2: Trường hợp hồ sơ chưa đầy đủ, hợp lệ, trong thời hạn 07 ngày làm việc kể từ ngày nhận được hồ sơ, Ngân hàng Nhà nước có văn bản yêu cầu chi nhánh ngân hàng nước ngoài bổ sung hồ sơ.</w:t>
      </w:r>
    </w:p>
    <w:p>
      <w:pPr>
        <w:spacing w:after="0" w:before="0" w:lineRule="auto" w:line="276"/>
        <w:jc w:val="both"/>
      </w:pPr>
      <w:r>
        <w:rPr>
          <w:rFonts w:ascii="Times New Roman" w:hAnsi="Times New Roman" w:cs="Times New Roman" w:eastAsia="Times New Roman"/>
          <w:b w:val="false"/>
          <w:sz w:val="26"/>
        </w:rPr>
        <w:t>Bước 3: Trong thời hạn 25 ngày làm việc kể từ ngày nhận đủ hồ sơ hợp lệ, Ngân hàng Nhà nước có văn bản chấp thuận đề nghị tăng vốn được cấp của chi nhánh ngân hàng nước ngoài; trường hợp không chấp thuận, Ngân hàng Nhà nước có văn bản trả lời và nêu rõ lý do. Văn bản chấp thuận tăng mức vốn được cấp có hiệu lực trong thời hạn 06 tháng kể từ ngày ký.</w:t>
      </w:r>
    </w:p>
    <w:p>
      <w:pPr>
        <w:spacing w:after="0" w:before="0" w:lineRule="auto" w:line="276"/>
        <w:jc w:val="both"/>
      </w:pPr>
      <w:r>
        <w:rPr>
          <w:rFonts w:ascii="Times New Roman" w:hAnsi="Times New Roman" w:cs="Times New Roman" w:eastAsia="Times New Roman"/>
          <w:b w:val="false"/>
          <w:sz w:val="26"/>
        </w:rPr>
        <w:t>Bước 4. Sửa đổi, bổ sung Giấy phép thực hiện như sau:
a) Trong thời hạn 15 ngày làm việc kể từ ngày hoàn thành việc tăng mức vốn được cấp, chi nhánh ngân hàng nước ngoài có văn bản gửi Ngân hàng Nhà nước đề nghị sửa đổi mức vốn được cấp tại Giấy phép.
b) Trong thời hạn 15 ngày làm việc kể từ ngày nhận được văn bản đề nghị, Ngân hàng Nhà nước có quyết định sửa đổi mức vốn được cấp tại Giấy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Trụ sở cơ quan hành chính (trực tiếp tại Bộ phận Một cửa)
+Trường hợp chi nhánh ngân hàng nước ngoài tăng mức vốn được cấp từ lợi nhuận để lại và các quỹ khác theo quy định: 40 ngày làm việc kể từ ngày nhận đủ hồ sơ hợp lệ.
+ Trường hợp chi nhánh ngân hàng nước ngoài tăng mức vốn được cấp do ngân hàng mẹ cấp bổ sung:
a) Đối với thủ tục chấp thuận đề nghị tăng mức vốn được cấp: 25 ngày làm việc kể từ ngày nhận đủ hồ sơ hợp lệ;
b) Đối với thủ tục sửa Giấy phép: 15 ngày làm việc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đường bưu điện (dịch vụ bưu chính công ích)
+Trường hợp chi nhánh ngân hàng nước ngoài tăng mức vốn được cấp từ lợi nhuận để lại và các quỹ khác theo quy định: 40 ngày làm việc kể từ ngày nhận đủ hồ sơ hợp lệ.
+ Trường hợp chi nhánh ngân hàng nước ngoài tăng mức vốn được cấp do ngân hàng mẹ cấp bổ sung:
a) Đối với thủ tục chấp thuận đề nghị tăng mức vốn được cấp: 25 ngày làm việc kể từ ngày nhận đủ hồ sơ hợp lệ;
b) Đối với thủ tục sửa Giấy phép: 15 ngày làm việc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đề nghị, trong đó tối thiểu bao gồm các nội dung sau: (i) Mức vốn đã được cấp hiện tại và mức vốn được cấp dự kiến tăng; (ii) Sự cần thiết của việc tăng mức vốn được cấp; (iii) Thông tin về quỹ dự trữ bổ sung vốn được cấp, lợi nhuận để lại và các quỹ khác được xác định theo kết quả kiểm toán của kiểm toán độc lập; thông tin về số tiền từ quỹ dự trữ bổ sung vốn được cấp, lợi nhuận để lại và các quỹ khác được sử dụng để tăng vốn được cấp (trường hợp nguồn tăng vốn từ các quỹ dự trữ bổ sung vốn được cấp, lợi nhuận để lại và các quỹ khác); (iv) Số vốn dự kiến cấp bổ sung từ ngân hàng mẹ (trường hợp nguồn tăng vốn từ ngân hàng mẹ);</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Văn bản của ngân hàng mẹ thông qua việc tăng mức vốn được cấp của chi nhánh ngân hàng nước ngoài tại Việt Nam, trong đó tối thiểu phải có các nội dung sau: (i) Tổng mức vốn được cấp dự kiến tăng thêm; (ii) Các đợt dự kiến tăng mức vốn được cấp (nếu có); (iii) Nguồn tiền được sử dụng để tăng mức vốn được cấp; (iv) Thời gian dự kiến hoàn thành việc tăng mức vốn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hầng Nhà nước Việt Nam 49, Lý Thái Tổ, Hoàn Kiếm, Hà Nội/Ngân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đề nghị tăng mức vốn được cấp và Quyết định sửa đổi mức vốn được cấp tại Giấy phép đối với nội dung vốn được cấp của chi nhánh ngân hàng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17/2017/QH14</w:t>
            </w:r>
          </w:p>
        </w:tc>
        <w:tc>
          <w:p/>
          <w:p>
            <w:pPr>
              <w:spacing w:after="0" w:before="0" w:lineRule="auto" w:line="276"/>
              <w:jc w:val="left"/>
            </w:pPr>
            <w:r>
              <w:rPr>
                <w:rFonts w:ascii="Times New Roman" w:hAnsi="Times New Roman" w:cs="Times New Roman" w:eastAsia="Times New Roman"/>
                <w:b w:val="false"/>
                <w:sz w:val="26"/>
              </w:rPr>
              <w:t>Luật 17/2017/QH14</w:t>
            </w:r>
          </w:p>
        </w:tc>
        <w:tc>
          <w:p/>
          <w:p>
            <w:pPr>
              <w:spacing w:after="0" w:before="0" w:lineRule="auto" w:line="276"/>
              <w:jc w:val="left"/>
            </w:pPr>
            <w:r>
              <w:rPr>
                <w:rFonts w:ascii="Times New Roman" w:hAnsi="Times New Roman" w:cs="Times New Roman" w:eastAsia="Times New Roman"/>
                <w:b w:val="false"/>
                <w:sz w:val="26"/>
              </w:rPr>
              <w:t>20-11-2017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50/2018/TT-NHNN</w:t>
            </w:r>
          </w:p>
        </w:tc>
        <w:tc>
          <w:p/>
          <w:p>
            <w:pPr>
              <w:spacing w:after="0" w:before="0" w:lineRule="auto" w:line="276"/>
              <w:jc w:val="left"/>
            </w:pPr>
            <w:r>
              <w:rPr>
                <w:rFonts w:ascii="Times New Roman" w:hAnsi="Times New Roman" w:cs="Times New Roman" w:eastAsia="Times New Roman"/>
                <w:b w:val="false"/>
                <w:sz w:val="26"/>
              </w:rPr>
              <w:t>Thông tư 50/2018/TT-NHNN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2025-11-27T16:31:16Z</dcterms:created>
  <dc:creator>Apache POI</dc:creator>
</cp:coreProperties>
</file>