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1.001056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775/QĐ-BVHTTDL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đủ điều kiện kinh doanh hoạt động thể thao đối với môn Đấu kiếm thể thao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Thể dục thể thao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hồ sơ qua bưu chính hoặc trên môi trường điện tử hoặc nộp trực tiếp đến Cơ quan chuyên môn về thể dục, thể thao thuộc Ủy ban nhân dân cấp tỉnh nơi đăng ký địa điểm kinh doanh hoạt động thể thao hoặc nơi doanh nghiệp có trụ sở chính trường hợp doanh nghiệp có nhiều địa điểm kinh doanh hoạt động thể thao.
- Cơ quan chuyên môn về thể dục, thể thao thuộc Ủy ban nhân dân cấp tỉnh (sau đây gọi là cơ quan cấp Giấy chứng nhận) cấp cho doanh nghiệp giấy tiếp nhận hồ sơ.
- Trường hợp hồ sơ cần sửa đổi, bổ sung, cơ quan cấp Giấy chứng nhận thông báo trực tiếp hoặc bằng văn bản những nội dung cần sửa đổi, bổ sung đến doanh nghiệp trong thời hạn 03 ngày làm việc, kể từ ngày nhận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tóm tắt tình hình chuẩn bị các điều kiện kinh doanh hoạt động thể thao theo Mẫu số 03 ban hành kèm theo Nghị định số 36/2019/NĐ-CP ngày 29/4/2019 quy định chi tiết một số điều của Luật 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Mẫu số 03.ND362019.docx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đủ điều kiện kinh doanh hoạt động thể thao (theo mẫu số 02  Phụ lục III  Nghị định số 31/2024/NĐ-CP ngày 15/3/2024)</w:t>
            </w:r>
          </w:p>
        </w:tc>
        <w:tc>
          <w:p/>
          <w:p>
            <w:pPr>
              <w:spacing w:after="0" w:before="0" w:lineRule="auto" w:line="276"/>
              <w:jc w:val="left"/>
            </w:pPr>
            <w:r>
              <w:rPr>
                <w:rFonts w:ascii="Times New Roman" w:hAnsi="Times New Roman" w:cs="Times New Roman" w:eastAsia="Times New Roman"/>
                <w:b w:val="false"/>
                <w:sz w:val="26"/>
              </w:rPr>
              <w:t>Phu luc 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chuyên môn về thể dục, thể thao thuộc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hoạt động thể thao (mẫu số 01 Phụ lục III Nghị định số 31/2024/NĐ-CP ngày 15/3/2024)</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77/2006/QH11</w:t>
            </w:r>
          </w:p>
        </w:tc>
        <w:tc>
          <w:p/>
          <w:p>
            <w:pPr>
              <w:spacing w:after="0" w:before="0" w:lineRule="auto" w:line="276"/>
              <w:jc w:val="left"/>
            </w:pPr>
            <w:r>
              <w:rPr>
                <w:rFonts w:ascii="Times New Roman" w:hAnsi="Times New Roman" w:cs="Times New Roman" w:eastAsia="Times New Roman"/>
                <w:b w:val="false"/>
                <w:sz w:val="26"/>
              </w:rPr>
              <w:t>Luật 77/2006/QH11</w:t>
            </w:r>
          </w:p>
        </w:tc>
        <w:tc>
          <w:p/>
          <w:p>
            <w:pPr>
              <w:spacing w:after="0" w:before="0" w:lineRule="auto" w:line="276"/>
              <w:jc w:val="left"/>
            </w:pPr>
            <w:r>
              <w:rPr>
                <w:rFonts w:ascii="Times New Roman" w:hAnsi="Times New Roman" w:cs="Times New Roman" w:eastAsia="Times New Roman"/>
                <w:b w:val="false"/>
                <w:sz w:val="26"/>
              </w:rPr>
              <w:t>11-11-2006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97/2015/QH13</w:t>
            </w:r>
          </w:p>
        </w:tc>
        <w:tc>
          <w:p/>
          <w:p>
            <w:pPr>
              <w:spacing w:after="0" w:before="0" w:lineRule="auto" w:line="276"/>
              <w:jc w:val="left"/>
            </w:pPr>
            <w:r>
              <w:rPr>
                <w:rFonts w:ascii="Times New Roman" w:hAnsi="Times New Roman" w:cs="Times New Roman" w:eastAsia="Times New Roman"/>
                <w:b w:val="false"/>
                <w:sz w:val="26"/>
              </w:rPr>
              <w:t>Luật 97/2015/QH13</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36/2019/NĐ-CP</w:t>
            </w:r>
          </w:p>
        </w:tc>
        <w:tc>
          <w:p/>
          <w:p>
            <w:pPr>
              <w:spacing w:after="0" w:before="0" w:lineRule="auto" w:line="276"/>
              <w:jc w:val="left"/>
            </w:pPr>
            <w:r>
              <w:rPr>
                <w:rFonts w:ascii="Times New Roman" w:hAnsi="Times New Roman" w:cs="Times New Roman" w:eastAsia="Times New Roman"/>
                <w:b w:val="false"/>
                <w:sz w:val="26"/>
              </w:rPr>
              <w:t>Nghị định 36/2019/NĐ-CP</w:t>
            </w:r>
          </w:p>
        </w:tc>
        <w:tc>
          <w:p/>
          <w:p>
            <w:pPr>
              <w:spacing w:after="0" w:before="0" w:lineRule="auto" w:line="276"/>
              <w:jc w:val="left"/>
            </w:pPr>
            <w:r>
              <w:rPr>
                <w:rFonts w:ascii="Times New Roman" w:hAnsi="Times New Roman" w:cs="Times New Roman" w:eastAsia="Times New Roman"/>
                <w:b w:val="false"/>
                <w:sz w:val="26"/>
              </w:rPr>
              <w:t>29-04-2019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34/2018/TT-BVHTTDL</w:t>
            </w:r>
          </w:p>
        </w:tc>
        <w:tc>
          <w:p/>
          <w:p>
            <w:pPr>
              <w:spacing w:after="0" w:before="0" w:lineRule="auto" w:line="276"/>
              <w:jc w:val="left"/>
            </w:pPr>
            <w:r>
              <w:rPr>
                <w:rFonts w:ascii="Times New Roman" w:hAnsi="Times New Roman" w:cs="Times New Roman" w:eastAsia="Times New Roman"/>
                <w:b w:val="false"/>
                <w:sz w:val="26"/>
              </w:rPr>
              <w:t>Thông tư 34/2018/TT-BVHTTDL</w:t>
            </w:r>
          </w:p>
        </w:tc>
        <w:tc>
          <w:p/>
          <w:p>
            <w:pPr>
              <w:spacing w:after="0" w:before="0" w:lineRule="auto" w:line="276"/>
              <w:jc w:val="left"/>
            </w:pPr>
            <w:r>
              <w:rPr>
                <w:rFonts w:ascii="Times New Roman" w:hAnsi="Times New Roman" w:cs="Times New Roman" w:eastAsia="Times New Roman"/>
                <w:b w:val="false"/>
                <w:sz w:val="26"/>
              </w:rPr>
              <w:t>02-11-2018</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26/2018/QH14</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14-06-2018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04/2019/TT-BVHTTDL</w:t>
            </w:r>
          </w:p>
        </w:tc>
        <w:tc>
          <w:p/>
          <w:p>
            <w:pPr>
              <w:spacing w:after="0" w:before="0" w:lineRule="auto" w:line="276"/>
              <w:jc w:val="left"/>
            </w:pPr>
            <w:r>
              <w:rPr>
                <w:rFonts w:ascii="Times New Roman" w:hAnsi="Times New Roman" w:cs="Times New Roman" w:eastAsia="Times New Roman"/>
                <w:b w:val="false"/>
                <w:sz w:val="26"/>
              </w:rPr>
              <w:t>Thông tư 04/2019/TT-BVHTTDL ngày 17/7/2019</w:t>
            </w:r>
          </w:p>
        </w:tc>
        <w:tc>
          <w:p/>
          <w:p>
            <w:pPr>
              <w:spacing w:after="0" w:before="0" w:lineRule="auto" w:line="276"/>
              <w:jc w:val="left"/>
            </w:pPr>
            <w:r>
              <w:rPr>
                <w:rFonts w:ascii="Times New Roman" w:hAnsi="Times New Roman" w:cs="Times New Roman" w:eastAsia="Times New Roman"/>
                <w:b w:val="false"/>
                <w:sz w:val="26"/>
              </w:rPr>
              <w:t>17-07-2019</w:t>
            </w:r>
          </w:p>
        </w:tc>
        <w:tc>
          <w:p/>
        </w:tc>
      </w:tr>
      <w:tr>
        <w:tc>
          <w:p/>
          <w:p>
            <w:pPr>
              <w:spacing w:after="0" w:before="0" w:lineRule="auto" w:line="276"/>
              <w:jc w:val="left"/>
            </w:pPr>
            <w:r>
              <w:rPr>
                <w:rFonts w:ascii="Times New Roman" w:hAnsi="Times New Roman" w:cs="Times New Roman" w:eastAsia="Times New Roman"/>
                <w:b w:val="false"/>
                <w:sz w:val="26"/>
              </w:rPr>
              <w:t>31/2024/NĐ-CP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15-03-2024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Cơ sở vật chất, trang thiết bị tập luyện
1. Sàn tập luyện có kích thước từ 20m x10m trở lên; bằng phẳng, không trơn trượt.
2. Độ chiếu sáng bảo đảm từ 150 lux trở lên.
3. Có chỗ gửi đồ, khu vực vệ sinh; có túi sơ cứu theo quy định của Bộ Y tế.
4. Có sổ theo dõi người tham gia tập luyện.
5. Có bảng nội quy bao gồm những nội dung chủ yếu sau: Đối tượng tham gia tập luyện, trang phục khi tập luyện, giờ tập luyện, biện pháp bảo đảm an toàn khi tập luyện.
6. Trang thiết bị tập luyện: 
a) Bộ giáp vải (chịu lực 350N trở lên), áo giáp con (chịu lực 350N trở lên), mặt nạ (chịu lực 350N trở lên), áo giáp điện (đối với kiếm chém và kiếm liễu), găng tay, giày, bít tất;
b) Kiếm tập (bao gồm: Kiếm chém, kiếm liễu và kiếm ba cạnh). 
Việc quản lý, sử dụng kiếm thực hiện theo quy định của pháp luật về quản lý, sử dụng vũ khí, vật liệu nổ và công cụ hỗ trợ.
(2) Cơ sở vật chất, trang thiết bị thi đấu
1. Cơ sở vật chất thi đấu:
a) Thực hiện theo quy định tại các mục 1, 2 phần (1) nêu trên. 
b) Đường thi đấu được làm bằng hợp kim có kích thước chiều dài từ 17m đến 18m và chiều rộng từ 1,5m đến 2,0m.
2. Trang thiết bị thi đấu:
a) Thực hiện theo quy định tại điểm a mục 6 phần (1) nêu trên.
b) Kiếm thi đấu, dây điện mặt nạ, dây điện trên người.
 (3) Nhân viên chuyên môn: Có đội ngũ cán bộ, nhân viên chuyên môn phù hợp với nội dung hoạt động.
Điều kiện riêng đối với doanh nghiệp kinh doanh hoạt động thể thao bắt buộc có người hướng dẫn tập luyện:
(1) Hộ kinh doanh và các tổ chức khác muốn kinh doanh hoạt động thể thao bắt buộc có người hướng dẫn tập luyện phải đăng ký thành lập doanh nghiệp.
 (2) Doanh nghiệp kinh doanh hoạt động thể thao nếu có cung cấp dịch vụ hướng dẫn tập luyện thể thao hoặc kinh doanh hoạt động thể thao thuộc Danh mục hoạt động thể thao bắt buộc có người hướng dẫn tập luyện do Bộ trưởng Bộ Văn hóa, Thể thao và Du lịch quy định phải đáp ứng các điều kiện sau đây:
Nhân viên chuyên môn của doanh nghiệp kinh doanh hoạt động thể thao bao gồm:
- Người hướng dẫn tập luyện thể thao phải đáp ứng một trong các điều kiện sau đây:
+ Là huấn luyện viên hoặc vận động viên có đẳng cấp từ cấp 2 trở lên hoặc tương đương phù hợp với hoạt động thể thao đăng ký kinh doanh;
+ Có bằng cấp về chuyên ngành thể dục thể thao từ bậc trung cấp trở lên phù hợp với hoạt động thể thao đăng ký kinh doanh;
+ Được tập huấn chuyên môn thể thao theo quy định của Bộ trưởng Bộ Văn hóa, Thể thao và Du lịch.
- Nhân viên cứu hộ.
- Nhân viên y tế.</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https://thutuc.dichvucong.gov.vn/p/home/dvc-tthc-thu-tuc-hanh-chinh-chi-tiet.html?ma_thu_tuc=1573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2025-11-27T16:31:24Z</dcterms:created>
  <dc:creator>Apache POI</dc:creator>
</cp:coreProperties>
</file>