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901/QĐ-BXD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thi công nút giao đấu nối vào đường quốc lộ đang khai thác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Chủ đầu tư dự án xây dựng nút giao đấu nối vào đường quốc lộ đang khai thác gửi hồ sơ đề nghị đến cơ quan có thẩm quyền:
- Đối với quốc lộ do Bộ Xây dựng quản lý: Khu Quản lý đường bộ thực hiện cấp phép thi công đấu nối vào đường quốc lộ thuộc phạm vi quản lý;
- Đối với quốc lộ do Uỷ ban nhân dân cấp tỉnh quản lý: Uỷ ban nhân dân cấp tỉnh tổ chức thực hiện việc cấp phép thi công đấu nối vào đường quốc lộ.</w:t>
      </w:r>
    </w:p>
    <w:p>
      <w:pPr>
        <w:spacing w:after="0" w:before="0" w:lineRule="auto" w:line="276"/>
        <w:jc w:val="both"/>
      </w:pPr>
      <w:r>
        <w:rPr>
          <w:rFonts w:ascii="Times New Roman" w:hAnsi="Times New Roman" w:cs="Times New Roman" w:eastAsia="Times New Roman"/>
          <w:b w:val="false"/>
          <w:sz w:val="26"/>
        </w:rPr>
        <w:t>b) Giải quyết TTHC:
-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
- Đối với hồ sơ nộp gián tiếp, trong thời hạn 02 ngày làm việc kể từ ngày nhận được hồ sơ, cơ quan có thẩm quyền thực hiện kiểm tra thành phần hồ sơ, nếu đủ thì tiếp nhận, nếu không đủ có văn bản thông báo đến tổ chức, cá nhân để bổ sung, hoàn thiện;
- Trong thời hạn 07 ngày làm việc kể từ khi nhận đủ hồ sơ theo quy định, cơ quan có thẩm quyền tiến hành xem xét hồ sơ, nếu đủ điều kiện thì cấp giấy phép thi công nút giao đấu nối, trường hợp không chấp thuận thì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khi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Thuyết minh và bản vẽ biện pháp tổ chức thi công nút giao đấu nối vào quốc lộ đang khai thác; biện pháp bảo đảm giao thông đường bộ khi thi công xây dựng nút giao đấu nối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theo quy định</w:t>
            </w:r>
          </w:p>
        </w:tc>
        <w:tc>
          <w:p/>
          <w:p>
            <w:pPr>
              <w:spacing w:after="0" w:before="0" w:lineRule="auto" w:line="276"/>
              <w:jc w:val="left"/>
            </w:pPr>
            <w:r>
              <w:rPr>
                <w:rFonts w:ascii="Times New Roman" w:hAnsi="Times New Roman" w:cs="Times New Roman" w:eastAsia="Times New Roman"/>
                <w:b w:val="false"/>
                <w:sz w:val="26"/>
              </w:rPr>
              <w:t>3_P2.Nidung06.05.2025.docx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Khu Quản lý đường bộ,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thi công nút giao đấu nối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41/2024/TT-BGTVT</w:t>
            </w:r>
          </w:p>
        </w:tc>
        <w:tc>
          <w:p/>
          <w:p>
            <w:pPr>
              <w:spacing w:after="0" w:before="0" w:lineRule="auto" w:line="276"/>
              <w:jc w:val="left"/>
            </w:pPr>
            <w:r>
              <w:rPr>
                <w:rFonts w:ascii="Times New Roman" w:hAnsi="Times New Roman" w:cs="Times New Roman" w:eastAsia="Times New Roman"/>
                <w:b w:val="false"/>
                <w:sz w:val="26"/>
              </w:rPr>
              <w:t>Quy định về quản lý, vận hành, khai thác và bảo trì kết cấu hạ tầng đường bộ</w:t>
            </w:r>
          </w:p>
        </w:tc>
        <w:tc>
          <w:p/>
          <w:p>
            <w:pPr>
              <w:spacing w:after="0" w:before="0" w:lineRule="auto" w:line="276"/>
              <w:jc w:val="left"/>
            </w:pPr>
            <w:r>
              <w:rPr>
                <w:rFonts w:ascii="Times New Roman" w:hAnsi="Times New Roman" w:cs="Times New Roman" w:eastAsia="Times New Roman"/>
                <w:b w:val="false"/>
                <w:sz w:val="26"/>
              </w:rPr>
              <w:t>15-11-2024</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09/2025/TT-BXD</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thuộc lĩnh vực quản lý nhà nước của Bộ Xây dựng liên quan đến sắp xếp tổ chức bộ máy, thực hiện chính quyền địa phương hai cấp và phân cấp cho chính quyền địa phương.</w:t>
            </w:r>
          </w:p>
        </w:tc>
        <w:tc>
          <w:p/>
          <w:p>
            <w:pPr>
              <w:spacing w:after="0" w:before="0" w:lineRule="auto" w:line="276"/>
              <w:jc w:val="left"/>
            </w:pPr>
            <w:r>
              <w:rPr>
                <w:rFonts w:ascii="Times New Roman" w:hAnsi="Times New Roman" w:cs="Times New Roman" w:eastAsia="Times New Roman"/>
                <w:b w:val="false"/>
                <w:sz w:val="26"/>
              </w:rPr>
              <w:t>13-06-2025</w:t>
            </w:r>
          </w:p>
        </w:tc>
        <w:tc>
          <w:p/>
          <w:p>
            <w:pPr>
              <w:spacing w:after="0" w:before="0" w:lineRule="auto" w:line="276"/>
              <w:jc w:val="left"/>
            </w:pPr>
            <w:r>
              <w:rPr>
                <w:rFonts w:ascii="Times New Roman" w:hAnsi="Times New Roman" w:cs="Times New Roman" w:eastAsia="Times New Roman"/>
                <w:b w:val="false"/>
                <w:sz w:val="26"/>
              </w:rPr>
              <w:t>Bộ Xây dựng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Vị trí đấu nối được thiết kế, xây dựng tuân thủ quy chuẩn, tiêu chuẩn kỹ thuật; phù hợp với cấp đường và bảo đảm an toàn giao thông, năng lực thông hành của tuyến đường;
- Trường hợp đấu nối đường khác với đường cao tốc, ngoài các quy định trên, khoảng cách giữa các vị trí đấu nối phải tuân thủ quy chuẩn, tiêu chuẩn kỹ thuật về thiết kế đường cao tốc.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2025-11-27T16:31:25Z</dcterms:created>
  <dc:creator>Apache POI</dc:creator>
</cp:coreProperties>
</file>