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3596/QĐ-NHCS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chi trả tiền gửi có kỳ hạn theo thừa kế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thừa kế xuất trình hồ sơ theo quy định.
- NHCSXH kiểm tra, đối chiếu hồ sơ theo quy định.
- NHCSXH cập nhật thông tin, chuyển quyền sở hữu tiền gửi có kỳ hạn cho người thừa kế hoặc chi trả tiền gửi tiết kiệm cho người thừa kế theo quy định.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trụ sở NHCSXH nơi nhận tiền gửi có kỳ hạn.
Ngay sau khi NHCSXH nơi thực hiện thủ tục nhận được hồ sơ của khách hàng.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Hợp đồng tiền gửi có kỳ hạn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chứng tử hoặc Quyết định có hiệu lực pháp luật của Tòa án về việc tuyên bố chủ sở hữu tiền gửi có kỳ hạn chết (01 bản chính hoặc 01 bản sao có công chứng hoặc chứng thực hoặc bản sao từ sổ gốc do cơ quan có thẩm quyền cấp lưu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tờ xác minh thông tin cá nhân của người thừa kế: Giấy chứng minh nhân dân hoặc Thẻ căn cước công dân hoặc Hộ chiếu còn thời hạn hiệu lực (01 bản chính để đối chiếu và 01 bản sao có công chứng hoặc chứng thực để lưu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Tùy từng trường hợp cụ thể, người thừa kế phải xuất trình thêm một trong các giấy tờ sau: Văn bản khai nhận di sản có công chứng hoặc chứng thực; Văn bản thỏa thuận phân chia di sản; Bản án, quyết định có hiệu lực pháp luật của Tòa án về việc phân chia di sản thừa kế (01 bản có công chứng hoặc chứng thực lưu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thỏa thuận khác của những người thừa kế, di chúc bằng văn bản của khách hàng, văn bản từ chối nhận di sản của những người thừa kế  (nếu có) (01 bản có công chứng hoặc chứng thực lưu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Khoản tiền gửi có kỳ hạn được NHCSXH chi trả vào tài khoản thanh toán của người thừa kế mở tại NHCSXH.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47/2010/QH12</w:t>
            </w:r>
          </w:p>
        </w:tc>
        <w:tc>
          <w:p/>
          <w:p>
            <w:pPr>
              <w:spacing w:after="0" w:before="0" w:lineRule="auto" w:line="276"/>
              <w:jc w:val="left"/>
            </w:pPr>
            <w:r>
              <w:rPr>
                <w:rFonts w:ascii="Times New Roman" w:hAnsi="Times New Roman" w:cs="Times New Roman" w:eastAsia="Times New Roman"/>
                <w:b w:val="false"/>
                <w:sz w:val="26"/>
              </w:rPr>
              <w:t>Luật 47/2010/QH12</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	91/2015/QH13</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22-01-2003</w:t>
            </w:r>
          </w:p>
        </w:tc>
        <w:tc>
          <w:p/>
        </w:tc>
      </w:tr>
      <w:tr>
        <w:tc>
          <w:p/>
          <w:p>
            <w:pPr>
              <w:spacing w:after="0" w:before="0" w:lineRule="auto" w:line="276"/>
              <w:jc w:val="left"/>
            </w:pPr>
            <w:r>
              <w:rPr>
                <w:rFonts w:ascii="Times New Roman" w:hAnsi="Times New Roman" w:cs="Times New Roman" w:eastAsia="Times New Roman"/>
                <w:b w:val="false"/>
                <w:sz w:val="26"/>
              </w:rPr>
              <w:t>	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131/2002/QĐ-TTg</w:t>
            </w:r>
          </w:p>
        </w:tc>
        <w:tc>
          <w:p/>
          <w:p>
            <w:pPr>
              <w:spacing w:after="0" w:before="0" w:lineRule="auto" w:line="276"/>
              <w:jc w:val="left"/>
            </w:pPr>
            <w:r>
              <w:rPr>
                <w:rFonts w:ascii="Times New Roman" w:hAnsi="Times New Roman" w:cs="Times New Roman" w:eastAsia="Times New Roman"/>
                <w:b w:val="false"/>
                <w:sz w:val="26"/>
              </w:rPr>
              <w:t>Quyết định 131/2002/QĐ-TTg</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28/2005/PL-UBTVQH11</w:t>
            </w:r>
          </w:p>
        </w:tc>
        <w:tc>
          <w:p/>
          <w:p>
            <w:pPr>
              <w:spacing w:after="0" w:before="0" w:lineRule="auto" w:line="276"/>
              <w:jc w:val="left"/>
            </w:pPr>
            <w:r>
              <w:rPr>
                <w:rFonts w:ascii="Times New Roman" w:hAnsi="Times New Roman" w:cs="Times New Roman" w:eastAsia="Times New Roman"/>
                <w:b w:val="false"/>
                <w:sz w:val="26"/>
              </w:rPr>
              <w:t>Pháp lệnh 28/2005/PL-UBTVQH11</w:t>
            </w:r>
          </w:p>
        </w:tc>
        <w:tc>
          <w:p/>
          <w:p>
            <w:pPr>
              <w:spacing w:after="0" w:before="0" w:lineRule="auto" w:line="276"/>
              <w:jc w:val="left"/>
            </w:pPr>
            <w:r>
              <w:rPr>
                <w:rFonts w:ascii="Times New Roman" w:hAnsi="Times New Roman" w:cs="Times New Roman" w:eastAsia="Times New Roman"/>
                <w:b w:val="false"/>
                <w:sz w:val="26"/>
              </w:rPr>
              <w:t>13-12-2005</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06/2013/UBTVQH13</w:t>
            </w:r>
          </w:p>
        </w:tc>
        <w:tc>
          <w:p/>
          <w:p>
            <w:pPr>
              <w:spacing w:after="0" w:before="0" w:lineRule="auto" w:line="276"/>
              <w:jc w:val="left"/>
            </w:pPr>
            <w:r>
              <w:rPr>
                <w:rFonts w:ascii="Times New Roman" w:hAnsi="Times New Roman" w:cs="Times New Roman" w:eastAsia="Times New Roman"/>
                <w:b w:val="false"/>
                <w:sz w:val="26"/>
              </w:rPr>
              <w:t>Pháp lệnh 06/2013/UBTVQH13</w:t>
            </w:r>
          </w:p>
        </w:tc>
        <w:tc>
          <w:p/>
          <w:p>
            <w:pPr>
              <w:spacing w:after="0" w:before="0" w:lineRule="auto" w:line="276"/>
              <w:jc w:val="left"/>
            </w:pPr>
            <w:r>
              <w:rPr>
                <w:rFonts w:ascii="Times New Roman" w:hAnsi="Times New Roman" w:cs="Times New Roman" w:eastAsia="Times New Roman"/>
                <w:b w:val="false"/>
                <w:sz w:val="26"/>
              </w:rPr>
              <w:t>18-03-2013</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49/2018/TT-NHNN</w:t>
            </w:r>
          </w:p>
        </w:tc>
        <w:tc>
          <w:p/>
          <w:p>
            <w:pPr>
              <w:spacing w:after="0" w:before="0" w:lineRule="auto" w:line="276"/>
              <w:jc w:val="left"/>
            </w:pPr>
            <w:r>
              <w:rPr>
                <w:rFonts w:ascii="Times New Roman" w:hAnsi="Times New Roman" w:cs="Times New Roman" w:eastAsia="Times New Roman"/>
                <w:b w:val="false"/>
                <w:sz w:val="26"/>
              </w:rPr>
              <w:t>Thông tư 49/2018/TT-NHNN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3589/NHCS-KHNV</w:t>
            </w:r>
          </w:p>
        </w:tc>
        <w:tc>
          <w:p/>
          <w:p>
            <w:pPr>
              <w:spacing w:after="0" w:before="0" w:lineRule="auto" w:line="276"/>
              <w:jc w:val="left"/>
            </w:pPr>
            <w:r>
              <w:rPr>
                <w:rFonts w:ascii="Times New Roman" w:hAnsi="Times New Roman" w:cs="Times New Roman" w:eastAsia="Times New Roman"/>
                <w:b w:val="false"/>
                <w:sz w:val="26"/>
              </w:rPr>
              <w:t>Công văn số 3589/NHCS-KHNV V/v hướng dẫn tiền gửi có kỳ hạn tại Ngân hàng Chính sách xã hội</w:t>
            </w:r>
          </w:p>
        </w:tc>
        <w:tc>
          <w:p/>
          <w:p>
            <w:pPr>
              <w:spacing w:after="0" w:before="0" w:lineRule="auto" w:line="276"/>
              <w:jc w:val="left"/>
            </w:pPr>
            <w:r>
              <w:rPr>
                <w:rFonts w:ascii="Times New Roman" w:hAnsi="Times New Roman" w:cs="Times New Roman" w:eastAsia="Times New Roman"/>
                <w:b w:val="false"/>
                <w:sz w:val="26"/>
              </w:rPr>
              <w:t>11-06-2019</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thừa kế phải xuất trình được đầy đủ hồ sơ, thủ tục theo quy định của ngân hàng.
- Người thừa kế phải mở tài khoản thanh toán tại NHCSXH nơi nhận tiền gửi có kỳ hạn.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thừa kế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2025-11-27T16:31:29Z</dcterms:created>
  <dc:creator>Apache POI</dc:creator>
</cp:coreProperties>
</file>