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hạn mức nhận ủy thác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nhận ủy thác gửi 01 (một) bộ hồ sơ đăng ký hạn mức nhận ủy thác đầu tư qua đường bưu điện hoặc nộp trực tiếp tại Ngân hàng Nhà nước trước ngày 15 tháng 4 hàng năm.</w:t>
      </w:r>
    </w:p>
    <w:p>
      <w:pPr>
        <w:spacing w:after="0" w:before="0" w:lineRule="auto" w:line="276"/>
        <w:jc w:val="both"/>
      </w:pPr>
      <w:r>
        <w:rPr>
          <w:rFonts w:ascii="Times New Roman" w:hAnsi="Times New Roman" w:cs="Times New Roman" w:eastAsia="Times New Roman"/>
          <w:b w:val="false"/>
          <w:sz w:val="26"/>
        </w:rPr>
        <w:t>Bước 2: Ngân hàng Nhà nước có văn bản xác nhận hoặc từ chối xác nhận đăng ký chậm nhất vào ngày 15 tháng 5 hàng năm. Trường hợp từ chối xác nhận đăng ký,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Chậm nhất vào ngày 15/4 hàng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Chậm nhất vào ngày 15/4 hàng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hạn mức nhận ủy thác đầu tư theo Phụ lục số 09 ban hành kèm theo Thông tư 10;</w:t>
            </w:r>
          </w:p>
        </w:tc>
        <w:tc>
          <w:p/>
          <w:p>
            <w:pPr>
              <w:spacing w:after="0" w:before="0" w:lineRule="auto" w:line="276"/>
              <w:jc w:val="left"/>
            </w:pPr>
            <w:r>
              <w:rPr>
                <w:rFonts w:ascii="Times New Roman" w:hAnsi="Times New Roman" w:cs="Times New Roman" w:eastAsia="Times New Roman"/>
                <w:b w:val="false"/>
                <w:sz w:val="26"/>
              </w:rPr>
              <w:t>Phụ lục 09.doc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tài chính đã được kiểm toán độc lập của năm liền kề trước năm đăng ký hạn mức nhận ủy thác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thu, chi tài khoản nhận ủy thác có xác nhận của tổ chức tín dụng được phép nơi mở tài khoản; tình hình thực hiện hạn mức nhận ủy thác của năm trước liền kề và hạn mức nhận ủy thác tạm thời của năm thực hiện (không áp dụng đối với trường hợp tổ chức nhận ủy thác lần đầu đăng ký hạn mức nhận ủy thác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hạn mức nhận ủy thác đầu tư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2025-11-27T16:31:29Z</dcterms:created>
  <dc:creator>Apache POI</dc:creator>
</cp:coreProperties>
</file>