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Phương án hỗ trợ tài chính cho khách hàng vay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ty Quản lý tài sản lập hồ sơ theo quy định đề nghị chấp thuận Phương án đầu tư, cung cấp tài chính, Phương án bảo lãnh cho khách hàng vay vay vốn của tổ chức tín dụng, chi nhánh ngân hàng nước ngoài (Phương án hỗ trợ tài chính cho khách hàng vay) gửi Ngân hàng Nhà nước.
 - Bước 2: Trong thời hạn 15 ngày làm việc kể từ ngày nhận được hồ sơ đề nghị chấp thuận Phương án hỗ trợ tài chính cho khách hàng vay, Ngân hàng Nhà nước xem xét, có văn bản gửi Công ty Quản lý tài sản về việc chấp thuận hoặc không chấp thuận. Trong trường hợp không chấp thuận, văn bản gửi Công ty Quản lý tài sản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Phương án hỗ trợ tài chính cho khách hàng vay và góp vốn, mua cổ phần của khách hàng vay do người đại diện hợp pháp của Công ty Quản lý tài sản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thành viên của Công ty Quản lý tài sản thông qua Phương án hỗ trợ tài chính cho khách hàng vay kèm theo Phương án hỗ trợ tài chính cho khách hàng vay theo quy định tại điểm c khoản 2, điểm c khoản 3 Điều 31 Thông tư 19/2013/TT-NHNN ngày 06/9/2013 quy định về việc mua, bán và xử lý nợ xấu của Công ty Quản lý tài sản (đã được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Phương án hỗ trợ tài chính cho khách hàng vay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53/2013/NĐ-CP</w:t>
            </w:r>
          </w:p>
        </w:tc>
        <w:tc>
          <w:p/>
          <w:p>
            <w:pPr>
              <w:spacing w:after="0" w:before="0" w:lineRule="auto" w:line="276"/>
              <w:jc w:val="left"/>
            </w:pPr>
            <w:r>
              <w:rPr>
                <w:rFonts w:ascii="Times New Roman" w:hAnsi="Times New Roman" w:cs="Times New Roman" w:eastAsia="Times New Roman"/>
                <w:b w:val="false"/>
                <w:sz w:val="26"/>
              </w:rPr>
              <w:t>Nghị định 53/2013/NĐ-CP</w:t>
            </w:r>
          </w:p>
        </w:tc>
        <w:tc>
          <w:p/>
          <w:p>
            <w:pPr>
              <w:spacing w:after="0" w:before="0" w:lineRule="auto" w:line="276"/>
              <w:jc w:val="left"/>
            </w:pPr>
            <w:r>
              <w:rPr>
                <w:rFonts w:ascii="Times New Roman" w:hAnsi="Times New Roman" w:cs="Times New Roman" w:eastAsia="Times New Roman"/>
                <w:b w:val="false"/>
                <w:sz w:val="26"/>
              </w:rPr>
              <w:t>18-05-2013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19/2013/TT-NHNN</w:t>
            </w:r>
          </w:p>
        </w:tc>
        <w:tc>
          <w:p/>
          <w:p>
            <w:pPr>
              <w:spacing w:after="0" w:before="0" w:lineRule="auto" w:line="276"/>
              <w:jc w:val="left"/>
            </w:pPr>
            <w:r>
              <w:rPr>
                <w:rFonts w:ascii="Times New Roman" w:hAnsi="Times New Roman" w:cs="Times New Roman" w:eastAsia="Times New Roman"/>
                <w:b w:val="false"/>
                <w:sz w:val="26"/>
              </w:rPr>
              <w:t>Thông tư 19/2013/TT-NHNN</w:t>
            </w:r>
          </w:p>
        </w:tc>
        <w:tc>
          <w:p/>
          <w:p>
            <w:pPr>
              <w:spacing w:after="0" w:before="0" w:lineRule="auto" w:line="276"/>
              <w:jc w:val="left"/>
            </w:pPr>
            <w:r>
              <w:rPr>
                <w:rFonts w:ascii="Times New Roman" w:hAnsi="Times New Roman" w:cs="Times New Roman" w:eastAsia="Times New Roman"/>
                <w:b w:val="false"/>
                <w:sz w:val="26"/>
              </w:rPr>
              <w:t>09-09-2019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03/2024/TT-NHNN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2025-11-27T16:31:36Z</dcterms:created>
  <dc:creator>Apache POI</dc:creator>
</cp:coreProperties>
</file>