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4184/QĐ-BVHTTDL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Giấy chứng nhận thành lập và hoạt động của chi nhánh cơ sở văn hóa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Hợp tác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sở văn hóa nước ngoài tại Việt Nam đề nghị cấp lại Giấy chứng nhận nộp trực tiếp hoặc qua bưu chính hoặc qua môi trường điện tử 01 bộ hồ sơ đến Ủy ban nhân dân tỉnh, thành phố trực thuộc trung ương nơi đã cấp Giấy chứng nhận;
- Trường hợp hồ sơ không hợp lệ, trong thời hạn 05 ngày làm việc, kể từ ngày tiếp nhận hồ sơ, Ủy ban nhân dân tỉnh, thành phố trực thuộc trung ương thông báo bằng văn bản gửi trực tiếp hoặc qua bưu chính hoặc thư điện tử cho cơ sở văn hóa nước ngoài tại Việt Nam để bổ sung hồ sơ;
- Trong thời hạn 07 ngày làm việc, kể từ ngày nhận đủ hồ sơ hợp lệ, Ủy ban nhân dân tỉnh, thành phố trực thuộc trung ương cấp lại Giấy chứng nhận theo Mẫu tại Phụ lục III ban hành kèm theo Nghị định số 89/2023/NĐ-CP ngày 12/12/2023 của Chính phủ và gửi bản sao Giấy chứng nhận đến Bộ Văn hóa, Thể thao và Du lịch. Trường hợp từ chối phải trả lời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lại theo mẫu tại Phụ lục I ban hành kèm theo Nghị định số 89/2023/NĐ-CP ngày 12 tháng 12 năm 2023 của Chính phủ</w:t>
            </w:r>
          </w:p>
        </w:tc>
        <w:tc>
          <w:p/>
          <w:p>
            <w:pPr>
              <w:spacing w:after="0" w:before="0" w:lineRule="auto" w:line="276"/>
              <w:jc w:val="left"/>
            </w:pPr>
            <w:r>
              <w:rPr>
                <w:rFonts w:ascii="Times New Roman" w:hAnsi="Times New Roman" w:cs="Times New Roman" w:eastAsia="Times New Roman"/>
                <w:b w:val="false"/>
                <w:sz w:val="26"/>
              </w:rPr>
              <w:t>Cac mau don.docx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Giấy chứng nhận (đối với trường hợp bị rách,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Giấy chứng nhận và các tài liệu chứng minh việc thay đổi nội dung của Giấy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văn bản trong hồ sơ nếu bằng tiếng nước ngoài phải kèm theo bản dịch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thành lập và hoạt động của chi nhánh cơ sở văn hóa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126/2018/NĐ-CP</w:t>
            </w:r>
          </w:p>
        </w:tc>
        <w:tc>
          <w:p/>
          <w:p>
            <w:pPr>
              <w:spacing w:after="0" w:before="0" w:lineRule="auto" w:line="276"/>
              <w:jc w:val="left"/>
            </w:pPr>
            <w:r>
              <w:rPr>
                <w:rFonts w:ascii="Times New Roman" w:hAnsi="Times New Roman" w:cs="Times New Roman" w:eastAsia="Times New Roman"/>
                <w:b w:val="false"/>
                <w:sz w:val="26"/>
              </w:rPr>
              <w:t>126/2018/NĐ-CP ngày 20/9/2018</w:t>
            </w:r>
          </w:p>
        </w:tc>
        <w:tc>
          <w:p/>
          <w:p>
            <w:pPr>
              <w:spacing w:after="0" w:before="0" w:lineRule="auto" w:line="276"/>
              <w:jc w:val="left"/>
            </w:pPr>
            <w:r>
              <w:rPr>
                <w:rFonts w:ascii="Times New Roman" w:hAnsi="Times New Roman" w:cs="Times New Roman" w:eastAsia="Times New Roman"/>
                <w:b w:val="false"/>
                <w:sz w:val="26"/>
              </w:rPr>
              <w:t>20-09-2018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Bị rách, hỏng hoặc bị mất;
- Thay đổi nội dung của Giấy chứng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2025-11-27T16:31:46Z</dcterms:created>
  <dc:creator>Apache POI</dc:creator>
</cp:coreProperties>
</file>