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đánh giá an ninh cảng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Doanh nghiệp cảng biển nộp hồ sơ đề nghị thẩm định, phê duyệt Đánh giá an ninh cảng biển đến Cảng vụ hàng hải/Cảng vụ đường thủy nội địa khu vực quản lý.</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Cảng vụ hàng hải/Cảng vụ đường thủy nội địa tiếp nhận và xem xét hồ sơ; nếu hồ sơ chưa đầy đủ thì hướng dẫn cho Doanh nghiệp cảng biển bổ sung hoàn chỉnh, nếu đầy đủ thì thông báo về thời gian đánh giá tại cảng biển.</w:t>
      </w:r>
    </w:p>
    <w:p>
      <w:pPr>
        <w:spacing w:after="0" w:before="0" w:lineRule="auto" w:line="276"/>
        <w:jc w:val="both"/>
      </w:pPr>
      <w:r>
        <w:rPr>
          <w:rFonts w:ascii="Times New Roman" w:hAnsi="Times New Roman" w:cs="Times New Roman" w:eastAsia="Times New Roman"/>
          <w:b w:val="false"/>
          <w:sz w:val="26"/>
        </w:rPr>
        <w:t>Cảng vụ hàng hải/Cảng vụ đường thủy nội địa tiến hành thẩm định đánh giá an ninh cảng biển tại cảng biển.</w:t>
      </w:r>
    </w:p>
    <w:p>
      <w:pPr>
        <w:spacing w:after="0" w:before="0" w:lineRule="auto" w:line="276"/>
        <w:jc w:val="both"/>
      </w:pPr>
      <w:r>
        <w:rPr>
          <w:rFonts w:ascii="Times New Roman" w:hAnsi="Times New Roman" w:cs="Times New Roman" w:eastAsia="Times New Roman"/>
          <w:b w:val="false"/>
          <w:sz w:val="26"/>
        </w:rPr>
        <w:t>Sau khi hoàn thành thẩm định, nếu Đánh giá an ninh cảng biển đáp ứng yêu cầu của Bộ luật ISPS thì Giám đốc Cảng vụ hàng hải/Cảng vụ đường thủy nội địa cấp Giấy chứng nhận Thẩm định -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15000000 Đồng</w:t>
              <w:t xml:space="preserve"> (Phí Thẩm định, phê duyệt đánh giá an ninh cảng biển lần đầu hoặc định kỳ 5 năm	15.000.0000 đồng/lần)</w:t>
            </w:r>
          </w:p>
        </w:tc>
        <w:tc>
          <w:p/>
          <w:p>
            <w:pPr>
              <w:spacing w:after="0" w:before="0" w:lineRule="auto" w:line="276"/>
              <w:jc w:val="left"/>
            </w:pPr>
            <w:r>
              <w:rPr>
                <w:rFonts w:ascii="Times New Roman" w:hAnsi="Times New Roman" w:cs="Times New Roman" w:eastAsia="Times New Roman"/>
                <w:b w:val="false"/>
                <w:sz w:val="26"/>
              </w:rPr>
              <w:t>Chậm nhất 03 ngày làm việc kể từ ngày kết thúc đánh giá tại cảng biển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15000000 Đồng</w:t>
              <w:t xml:space="preserve"> (Phí Thẩm định, phê duyệt đánh giá an ninh cảng biển lần đầu hoặc định kỳ 5 năm	15.000.0000 đồng/lần)</w:t>
            </w:r>
          </w:p>
        </w:tc>
        <w:tc>
          <w:p/>
          <w:p>
            <w:pPr>
              <w:spacing w:after="0" w:before="0" w:lineRule="auto" w:line="276"/>
              <w:jc w:val="left"/>
            </w:pPr>
            <w:r>
              <w:rPr>
                <w:rFonts w:ascii="Times New Roman" w:hAnsi="Times New Roman" w:cs="Times New Roman" w:eastAsia="Times New Roman"/>
                <w:b w:val="false"/>
                <w:sz w:val="26"/>
              </w:rPr>
              <w:t>Chậm nhất 03 ngày làm việc kể từ ngày kết thúc đánh giá tại cảng biển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phê duyệt Đánh giá an ninh cảng biển do Giám đốc doanh nghiệp cảng ký theo mẫu;</w:t>
            </w:r>
          </w:p>
        </w:tc>
        <w:tc>
          <w:p/>
          <w:p>
            <w:pPr>
              <w:spacing w:after="0" w:before="0" w:lineRule="auto" w:line="276"/>
              <w:jc w:val="left"/>
            </w:pPr>
            <w:r>
              <w:rPr>
                <w:rFonts w:ascii="Times New Roman" w:hAnsi="Times New Roman" w:cs="Times New Roman" w:eastAsia="Times New Roman"/>
                <w:b w:val="false"/>
                <w:sz w:val="26"/>
              </w:rPr>
              <w:t>cv tham dinh.doc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Đánh giá an ninh cảng biển có xác nhận của giám đốc Doanh nghiệp cảng biển ở trang cuối (đối với cảng liên doanh với nước ngoài hoặc người khai thác cảng là pháp nhân, thể nhân nước ngoài thì Đánh giá an ninh cảng biển phải được dịch sang tiếng 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Cảng vụ hàng hải, Cảng vụ đường thủy nội địa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Cảng vụ hàng hải, Cảng vụ đường thủy nội địa</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thẩm định, phê duyệt đánh giá an ninh cảng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40/2005/QH11</w:t>
            </w:r>
          </w:p>
        </w:tc>
        <w:tc>
          <w:p/>
          <w:p>
            <w:pPr>
              <w:spacing w:after="0" w:before="0" w:lineRule="auto" w:line="276"/>
              <w:jc w:val="left"/>
            </w:pPr>
            <w:r>
              <w:rPr>
                <w:rFonts w:ascii="Times New Roman" w:hAnsi="Times New Roman" w:cs="Times New Roman" w:eastAsia="Times New Roman"/>
                <w:b w:val="false"/>
                <w:sz w:val="26"/>
              </w:rPr>
              <w:t>Hàng hải Việt Nam</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27/2011/TT-BGTVT</w:t>
            </w:r>
          </w:p>
        </w:tc>
        <w:tc>
          <w:p/>
          <w:p>
            <w:pPr>
              <w:spacing w:after="0" w:before="0" w:lineRule="auto" w:line="276"/>
              <w:jc w:val="left"/>
            </w:pPr>
            <w:r>
              <w:rPr>
                <w:rFonts w:ascii="Times New Roman" w:hAnsi="Times New Roman" w:cs="Times New Roman" w:eastAsia="Times New Roman"/>
                <w:b w:val="false"/>
                <w:sz w:val="26"/>
              </w:rPr>
              <w:t>Áp dụng sửa đổi, bổ sung năm 2002 của Công ước quốc tế về an toàn sinh mạng con người trên biển năm 1974 ban hành kèm theo Bộ luật Quốc tế về an ninh tàu biển và cảng biển</w:t>
            </w:r>
          </w:p>
        </w:tc>
        <w:tc>
          <w:p/>
          <w:p>
            <w:pPr>
              <w:spacing w:after="0" w:before="0" w:lineRule="auto" w:line="276"/>
              <w:jc w:val="left"/>
            </w:pPr>
            <w:r>
              <w:rPr>
                <w:rFonts w:ascii="Times New Roman" w:hAnsi="Times New Roman" w:cs="Times New Roman" w:eastAsia="Times New Roman"/>
                <w:b w:val="false"/>
                <w:sz w:val="26"/>
              </w:rPr>
              <w:t>14-04-2011</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132/2013/TT-BTC</w:t>
            </w:r>
          </w:p>
        </w:tc>
        <w:tc>
          <w:p/>
          <w:p>
            <w:pPr>
              <w:spacing w:after="0" w:before="0" w:lineRule="auto" w:line="276"/>
              <w:jc w:val="left"/>
            </w:pPr>
            <w:r>
              <w:rPr>
                <w:rFonts w:ascii="Times New Roman" w:hAnsi="Times New Roman" w:cs="Times New Roman" w:eastAsia="Times New Roman"/>
                <w:b w:val="false"/>
                <w:sz w:val="26"/>
              </w:rPr>
              <w:t>Quy định chế độ thu, nộp và quản lý sử dụng phí thẩm định, phê duyệt đánh giá an ninh cảng biển, kế hoạch an ninh cảng biển và cấp lý lịch liên tục của tàu biển</w:t>
            </w:r>
          </w:p>
        </w:tc>
        <w:tc>
          <w:p/>
          <w:p>
            <w:pPr>
              <w:spacing w:after="0" w:before="0" w:lineRule="auto" w:line="276"/>
              <w:jc w:val="left"/>
            </w:pPr>
            <w:r>
              <w:rPr>
                <w:rFonts w:ascii="Times New Roman" w:hAnsi="Times New Roman" w:cs="Times New Roman" w:eastAsia="Times New Roman"/>
                <w:b w:val="false"/>
                <w:sz w:val="26"/>
              </w:rPr>
              <w:t>19-09-2013</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Đánh giá an ninh cảng biển đáp ứng quy định của Bộ luật ISPS</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2025-11-27T16:31:47Z</dcterms:created>
  <dc:creator>Apache POI</dc:creator>
</cp:coreProperties>
</file>