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phù hợp của cảng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Doanh nghiệp cảng biển nộp hồ sơ cấp Giấy chứng nhận phù hợp của cảng biển đến Cục Hàng hải và Đường thủy Việt Nam.</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Cục Hàng hải và Đường thủy Việt Nam tiếp nhận và xem xét hồ sơ; nếu hồ sơ chưa đầy đủ thì hướng dẫn cho Doanh nghiệp cảng biển bổ sung hoàn chỉnh, nếu đầy đủ thì thông báo về thời gian kiểm tra tại cảng biển.</w:t>
      </w:r>
    </w:p>
    <w:p>
      <w:pPr>
        <w:spacing w:after="0" w:before="0" w:lineRule="auto" w:line="276"/>
        <w:jc w:val="both"/>
      </w:pPr>
      <w:r>
        <w:rPr>
          <w:rFonts w:ascii="Times New Roman" w:hAnsi="Times New Roman" w:cs="Times New Roman" w:eastAsia="Times New Roman"/>
          <w:b w:val="false"/>
          <w:sz w:val="26"/>
        </w:rPr>
        <w:t>Cục Hàng hải và Đường thủy Việt Nam tiến hành kiểm tra Kế hoạch an ninh cảng biển tại cảng biển.</w:t>
      </w:r>
    </w:p>
    <w:p>
      <w:pPr>
        <w:spacing w:after="0" w:before="0" w:lineRule="auto" w:line="276"/>
        <w:jc w:val="both"/>
      </w:pPr>
      <w:r>
        <w:rPr>
          <w:rFonts w:ascii="Times New Roman" w:hAnsi="Times New Roman" w:cs="Times New Roman" w:eastAsia="Times New Roman"/>
          <w:b w:val="false"/>
          <w:sz w:val="26"/>
        </w:rPr>
        <w:t>Sau khi hoàn thành kiểm tra, nếu Kế hoạch an ninh cảng biển đáp ứng yêu cầu của Bộ luật ISPS thì Cục Hàng hải và Đường thủy Việt Nam cấp Giấy chứng nhận phù hợp của cảng biển.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Lệ phí : 20000000 Đồng</w:t>
              <w:t xml:space="preserve"> (20.000.000 đồng/lần)</w:t>
            </w:r>
          </w:p>
        </w:tc>
        <w:tc>
          <w:p/>
          <w:p>
            <w:pPr>
              <w:spacing w:after="0" w:before="0" w:lineRule="auto" w:line="276"/>
              <w:jc w:val="left"/>
            </w:pPr>
            <w:r>
              <w:rPr>
                <w:rFonts w:ascii="Times New Roman" w:hAnsi="Times New Roman" w:cs="Times New Roman" w:eastAsia="Times New Roman"/>
                <w:b w:val="false"/>
                <w:sz w:val="26"/>
              </w:rPr>
              <w:t>Chậm nhất 03 ngày làm việc kể từ ngày kết thúc kiểm tra tại cảng biển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Lệ phí : 20000000 Đồng</w:t>
              <w:t xml:space="preserve"> (20.000.000 đồng/lần)</w:t>
            </w:r>
          </w:p>
        </w:tc>
        <w:tc>
          <w:p/>
          <w:p>
            <w:pPr>
              <w:spacing w:after="0" w:before="0" w:lineRule="auto" w:line="276"/>
              <w:jc w:val="left"/>
            </w:pPr>
            <w:r>
              <w:rPr>
                <w:rFonts w:ascii="Times New Roman" w:hAnsi="Times New Roman" w:cs="Times New Roman" w:eastAsia="Times New Roman"/>
                <w:b w:val="false"/>
                <w:sz w:val="26"/>
              </w:rPr>
              <w:t>Chậm nhất 03 ngày làm việc kể từ ngày kết thúc kiểm tra tại cảng biển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phê duyệt Kế hoạch an ninh cảng biển do Giám đốc doanh nghiệp cảng ký theo mẫu;</w:t>
            </w:r>
          </w:p>
        </w:tc>
        <w:tc>
          <w:p/>
          <w:p>
            <w:pPr>
              <w:spacing w:after="0" w:before="0" w:lineRule="auto" w:line="276"/>
              <w:jc w:val="left"/>
            </w:pPr>
            <w:r>
              <w:rPr>
                <w:rFonts w:ascii="Times New Roman" w:hAnsi="Times New Roman" w:cs="Times New Roman" w:eastAsia="Times New Roman"/>
                <w:b w:val="false"/>
                <w:sz w:val="26"/>
              </w:rPr>
              <w:t>cvan de nghi.doc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Kế hoạch an ninh cảng biển có xác nhận của giám đốc doanh nghiệp cảng (đối với cảng liên doanh với nước ngoài hoặc người khai thác cảng là pháp nhân, thể nhân nước ngoài thì Kế hoạch an ninh cảng biển phải được dịch sang tiếng Anh);</w:t>
            </w:r>
          </w:p>
        </w:tc>
        <w:tc>
          <w:p/>
          <w:p>
            <w:pPr>
              <w:spacing w:after="0" w:before="0" w:lineRule="auto" w:line="276"/>
              <w:jc w:val="left"/>
            </w:pPr>
            <w:r>
              <w:rPr>
                <w:rFonts w:ascii="Times New Roman" w:hAnsi="Times New Roman" w:cs="Times New Roman" w:eastAsia="Times New Roman"/>
                <w:b w:val="false"/>
                <w:sz w:val="26"/>
              </w:rPr>
              <w:t>ke hoach an ninh.doc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Đánh giá an ninh cảng biển có xác nhận của giám đốc Doanh nghiệp cảng ở trang cuối đã được Cảng vụ Hàng hải/Cảng vụ đường thủy nội địa thẩm định, phê duyệt (đối với cảng liên doanh với nước ngoài hoặc người khai thác cảng là pháp nhân, thể nhân nước ngoài thì Đánh giá an ninh cảng biển phải được dịch sang tiếng 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phù hợp của cảng biển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40/2005/QH11</w:t>
            </w:r>
          </w:p>
        </w:tc>
        <w:tc>
          <w:p/>
          <w:p>
            <w:pPr>
              <w:spacing w:after="0" w:before="0" w:lineRule="auto" w:line="276"/>
              <w:jc w:val="left"/>
            </w:pPr>
            <w:r>
              <w:rPr>
                <w:rFonts w:ascii="Times New Roman" w:hAnsi="Times New Roman" w:cs="Times New Roman" w:eastAsia="Times New Roman"/>
                <w:b w:val="false"/>
                <w:sz w:val="26"/>
              </w:rPr>
              <w:t>Hàng hải Việt Nam</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27/2011/TT-BGTVT</w:t>
            </w:r>
          </w:p>
        </w:tc>
        <w:tc>
          <w:p/>
          <w:p>
            <w:pPr>
              <w:spacing w:after="0" w:before="0" w:lineRule="auto" w:line="276"/>
              <w:jc w:val="left"/>
            </w:pPr>
            <w:r>
              <w:rPr>
                <w:rFonts w:ascii="Times New Roman" w:hAnsi="Times New Roman" w:cs="Times New Roman" w:eastAsia="Times New Roman"/>
                <w:b w:val="false"/>
                <w:sz w:val="26"/>
              </w:rPr>
              <w:t>Áp dụng sửa đổi, bổ sung năm 2002 của Công ước quốc tế về an toàn sinh mạng con người trên biển năm 1974 ban hành kèm theo Bộ luật Quốc tế về an ninh tàu biển và cảng biển</w:t>
            </w:r>
          </w:p>
        </w:tc>
        <w:tc>
          <w:p/>
          <w:p>
            <w:pPr>
              <w:spacing w:after="0" w:before="0" w:lineRule="auto" w:line="276"/>
              <w:jc w:val="left"/>
            </w:pPr>
            <w:r>
              <w:rPr>
                <w:rFonts w:ascii="Times New Roman" w:hAnsi="Times New Roman" w:cs="Times New Roman" w:eastAsia="Times New Roman"/>
                <w:b w:val="false"/>
                <w:sz w:val="26"/>
              </w:rPr>
              <w:t>14-04-2011</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132/2013/TT-BTC</w:t>
            </w:r>
          </w:p>
        </w:tc>
        <w:tc>
          <w:p/>
          <w:p>
            <w:pPr>
              <w:spacing w:after="0" w:before="0" w:lineRule="auto" w:line="276"/>
              <w:jc w:val="left"/>
            </w:pPr>
            <w:r>
              <w:rPr>
                <w:rFonts w:ascii="Times New Roman" w:hAnsi="Times New Roman" w:cs="Times New Roman" w:eastAsia="Times New Roman"/>
                <w:b w:val="false"/>
                <w:sz w:val="26"/>
              </w:rPr>
              <w:t>Quy định chế độ thu, nộp và quản lý sử dụng phí thẩm định, phê duyệt đánh giá an ninh cảng biển, kế hoạch an ninh cảng biển và cấp lý lịch liên tục của tàu biển</w:t>
            </w:r>
          </w:p>
        </w:tc>
        <w:tc>
          <w:p/>
          <w:p>
            <w:pPr>
              <w:spacing w:after="0" w:before="0" w:lineRule="auto" w:line="276"/>
              <w:jc w:val="left"/>
            </w:pPr>
            <w:r>
              <w:rPr>
                <w:rFonts w:ascii="Times New Roman" w:hAnsi="Times New Roman" w:cs="Times New Roman" w:eastAsia="Times New Roman"/>
                <w:b w:val="false"/>
                <w:sz w:val="26"/>
              </w:rPr>
              <w:t>19-09-2013</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Kế hoạch an ninh cảng biển đáp ứng quy định của Bộ luật ISPS</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2025-11-27T16:32:13Z</dcterms:created>
  <dc:creator>Apache POI</dc:creator>
</cp:coreProperties>
</file>