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1466/QĐ-NHNN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thu hồi giấy chứng nhận đăng ký đầu tư gián tiếp ra nước ngoài đối với tổ chức tự doanh là ngân hàng thương mại, công ty tài chính tổng hợp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thực hiện áp dụng đối với trường hợp tự nguyện đề nghị thu hồi giấy chứng nhận đăng ký đầu tư gián tiếp ra nước ngoài</w:t>
      </w:r>
    </w:p>
    <w:p>
      <w:pPr>
        <w:spacing w:after="0" w:before="0" w:lineRule="auto" w:line="276"/>
        <w:jc w:val="both"/>
      </w:pPr>
      <w:r>
        <w:rPr>
          <w:rFonts w:ascii="Times New Roman" w:hAnsi="Times New Roman" w:cs="Times New Roman" w:eastAsia="Times New Roman"/>
          <w:b w:val="false"/>
          <w:sz w:val="26"/>
        </w:rPr>
        <w:t>Bước 1: Ngân hàng thương mại, công ty tài chính tổng hợp nộp trực tiếp hoặc gửi qua đường bưu điện 01 (một) bộ hồ sơ đề nghị thu hồi giấy chứng nhận đăng ký đầu tư gián tiếp ra nước ngoài bằng tiếng Việt đến Ngân hàng Nhà nước</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05 (năm) ngày làm việc kể từ ngày nhận được hồ sơ, Ngân hàng Nhà nước có văn bản yêu cầu ngân hàng thương mại, công ty tài chính tổng hợp chỉnh sửa, bổ sung hồ sơ</w:t>
      </w:r>
    </w:p>
    <w:p>
      <w:pPr>
        <w:spacing w:after="0" w:before="0" w:lineRule="auto" w:line="276"/>
        <w:jc w:val="both"/>
      </w:pPr>
      <w:r>
        <w:rPr>
          <w:rFonts w:ascii="Times New Roman" w:hAnsi="Times New Roman" w:cs="Times New Roman" w:eastAsia="Times New Roman"/>
          <w:b w:val="false"/>
          <w:sz w:val="26"/>
        </w:rPr>
        <w:t>Bước 3: Trong thời hạn 07 (bảy) ngày làm việc kể từ ngày nhận được hồ sơ đầy đủ, hợp lệ, Ngân hàng Nhà nước ra quyết định thu hồi giấy chứng nhận đăng ký đầu tư gián tiếp ra nước ngoài của ngân hàng thương mại, công ty tài chính tổng hợp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thu hồi giấy chứng nhận đăng ký đầu tư gián tiếp ra nước ngoài theo mẫu tại Phụ lục số 04 ban hành kèm theo Thông tư 10</w:t>
            </w:r>
          </w:p>
        </w:tc>
        <w:tc>
          <w:p/>
          <w:p>
            <w:pPr>
              <w:spacing w:after="0" w:before="0" w:lineRule="auto" w:line="276"/>
              <w:jc w:val="left"/>
            </w:pPr>
            <w:r>
              <w:rPr>
                <w:rFonts w:ascii="Times New Roman" w:hAnsi="Times New Roman" w:cs="Times New Roman" w:eastAsia="Times New Roman"/>
                <w:b w:val="false"/>
                <w:sz w:val="26"/>
              </w:rPr>
              <w:t>Phụ lục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cấp có thẩm quyền theo Điều lệ của ngân hàng thương mại, công ty tài chính tổng hợp về việc chấm dứt hoạt động đầu tư gián tiếp ra nước ngoài kèm báo cáo kết quả xử lý các khoản đầu tư gián tiếp ra nước ngoài đang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chứng nhận đăng ký đầu tư gián tiếp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2025-11-27T16:32:32Z</dcterms:created>
  <dc:creator>Apache POI</dc:creator>
</cp:coreProperties>
</file>