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giám định cổ vật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Di sản 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kinh doanh giám định cổ vật nộp hồ sơ đến Giám đốc Sở Văn hóa, Thể thao và Du lịch/Sở Văn hóa và Thể thao nơi cơ sở kinh doanh giám định có trụ sở trên địa bàn.
- Trong thời hạn 15 ngày làm việc, kể từ ngày nhận đủ hồ sơ theo quy định, Giám đốc Sở Văn hóa, Thể thao và Du lịch/Sở Văn hóa và Thể thao có trách nhiệm xem xét, quyết định cấp Giấy chứng nhận đủ điều kiện kinh doanh giám định cổ vật, đồng thời báo cáo Bộ trưởng Bộ Văn hóa, Thể thao và Du lịch.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kèm theo lý lịch khoa học theo Mẫu số 02 tại Phụ lục ban hành kèm theo Nghị định số 61/2016/NĐ-CP ngày 01 tháng 7 năm 2016 của Chính phủ và bản sao văn bằng, chứng chỉ của các chuyên gia</w:t>
            </w:r>
          </w:p>
        </w:tc>
        <w:tc>
          <w:p/>
          <w:p>
            <w:pPr>
              <w:spacing w:after="0" w:before="0" w:lineRule="auto" w:line="276"/>
              <w:jc w:val="left"/>
            </w:pPr>
            <w:r>
              <w:rPr>
                <w:rFonts w:ascii="Times New Roman" w:hAnsi="Times New Roman" w:cs="Times New Roman" w:eastAsia="Times New Roman"/>
                <w:b w:val="false"/>
                <w:sz w:val="26"/>
              </w:rPr>
              <w:t>Mẫu số 02 ND 61 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tuyển dụng hoặc hợp đồng lao động giữa cơ sở kinh doanh giám định cổ vật và các chuyên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mục trang thiết bị, phương tiện để thực hiện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giám định cổ vật (Mẫu số 01 Phụ lục II ban hành kèm theo Nghị định số 31/2024/NĐ-CP ngày 15 tháng 3 năm 2024).</w:t>
            </w:r>
          </w:p>
        </w:tc>
        <w:tc>
          <w:p/>
          <w:p>
            <w:pPr>
              <w:spacing w:after="0" w:before="0" w:lineRule="auto" w:line="276"/>
              <w:jc w:val="left"/>
            </w:pPr>
            <w:r>
              <w:rPr>
                <w:rFonts w:ascii="Times New Roman" w:hAnsi="Times New Roman" w:cs="Times New Roman" w:eastAsia="Times New Roman"/>
                <w:b w:val="false"/>
                <w:sz w:val="26"/>
              </w:rPr>
              <w:t>Phu luc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giám định cổ vật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61/2016/NĐ-CP</w:t>
            </w:r>
          </w:p>
        </w:tc>
        <w:tc>
          <w:p/>
          <w:p>
            <w:pPr>
              <w:spacing w:after="0" w:before="0" w:lineRule="auto" w:line="276"/>
              <w:jc w:val="left"/>
            </w:pPr>
            <w:r>
              <w:rPr>
                <w:rFonts w:ascii="Times New Roman" w:hAnsi="Times New Roman" w:cs="Times New Roman" w:eastAsia="Times New Roman"/>
                <w:b w:val="false"/>
                <w:sz w:val="26"/>
              </w:rPr>
              <w:t>Nghị định 61/2016/NĐ-CP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142/2018/NĐ-CP</w:t>
            </w:r>
          </w:p>
        </w:tc>
        <w:tc>
          <w:p/>
          <w:p>
            <w:pPr>
              <w:spacing w:after="0" w:before="0" w:lineRule="auto" w:line="276"/>
              <w:jc w:val="left"/>
            </w:pPr>
            <w:r>
              <w:rPr>
                <w:rFonts w:ascii="Times New Roman" w:hAnsi="Times New Roman" w:cs="Times New Roman" w:eastAsia="Times New Roman"/>
                <w:b w:val="false"/>
                <w:sz w:val="26"/>
              </w:rPr>
              <w:t>Nghị định 142/2018/NĐ-CP</w:t>
            </w:r>
          </w:p>
        </w:tc>
        <w:tc>
          <w:p/>
          <w:p>
            <w:pPr>
              <w:spacing w:after="0" w:before="0" w:lineRule="auto" w:line="276"/>
              <w:jc w:val="left"/>
            </w:pPr>
            <w:r>
              <w:rPr>
                <w:rFonts w:ascii="Times New Roman" w:hAnsi="Times New Roman" w:cs="Times New Roman" w:eastAsia="Times New Roman"/>
                <w:b w:val="false"/>
                <w:sz w:val="26"/>
              </w:rPr>
              <w:t>09-10-2018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28/2001/QH10</w:t>
            </w:r>
          </w:p>
        </w:tc>
        <w:tc>
          <w:p/>
          <w:p>
            <w:pPr>
              <w:spacing w:after="0" w:before="0" w:lineRule="auto" w:line="276"/>
              <w:jc w:val="left"/>
            </w:pPr>
            <w:r>
              <w:rPr>
                <w:rFonts w:ascii="Times New Roman" w:hAnsi="Times New Roman" w:cs="Times New Roman" w:eastAsia="Times New Roman"/>
                <w:b w:val="false"/>
                <w:sz w:val="26"/>
              </w:rPr>
              <w:t>Luật 28/2001/QH10</w:t>
            </w:r>
          </w:p>
        </w:tc>
        <w:tc>
          <w:p/>
          <w:p>
            <w:pPr>
              <w:spacing w:after="0" w:before="0" w:lineRule="auto" w:line="276"/>
              <w:jc w:val="left"/>
            </w:pPr>
            <w:r>
              <w:rPr>
                <w:rFonts w:ascii="Times New Roman" w:hAnsi="Times New Roman" w:cs="Times New Roman" w:eastAsia="Times New Roman"/>
                <w:b w:val="false"/>
                <w:sz w:val="26"/>
              </w:rPr>
              <w:t>29-06-2001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32/2009/QH12 </w:t>
            </w:r>
          </w:p>
        </w:tc>
        <w:tc>
          <w:p/>
          <w:p>
            <w:pPr>
              <w:spacing w:after="0" w:before="0" w:lineRule="auto" w:line="276"/>
              <w:jc w:val="left"/>
            </w:pPr>
            <w:r>
              <w:rPr>
                <w:rFonts w:ascii="Times New Roman" w:hAnsi="Times New Roman" w:cs="Times New Roman" w:eastAsia="Times New Roman"/>
                <w:b w:val="false"/>
                <w:sz w:val="26"/>
              </w:rPr>
              <w:t>Luật 32/2009/QH12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Có trang thiết bị, phương tiện thực hiện giám định phù hợp với lĩnh vực đã đăng ký.
2. Có ít nhất 03 chuyên gia giám định cổ vật về các chuyên ngành theo hướng dẫn của Bộ Văn hóa, Thể thao và Du lịch.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2025-11-27T16:32:27Z</dcterms:created>
  <dc:creator>Apache POI</dc:creator>
</cp:coreProperties>
</file>