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Lập Văn phòng thường trú của báo chí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	</w:t>
      </w:r>
    </w:p>
    <w:p>
      <w:pPr>
        <w:spacing w:after="0" w:before="0" w:lineRule="auto" w:line="276"/>
        <w:jc w:val="both"/>
      </w:pPr>
      <w:r>
        <w:rPr>
          <w:rFonts w:ascii="Times New Roman" w:hAnsi="Times New Roman" w:cs="Times New Roman" w:eastAsia="Times New Roman"/>
          <w:b w:val="false"/>
          <w:sz w:val="26"/>
        </w:rPr>
        <w:t>Cơ quan báo chí nước ngoài có yêu cầu lập Văn phòng thường trú tại Việt Nam gửi hồ sơ tới Bộ Ngoại giao hoặc cơ quan đại diện Việt Nam ở nước ngoài.	</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	</w:t>
      </w:r>
    </w:p>
    <w:p>
      <w:pPr>
        <w:spacing w:after="0" w:before="0" w:lineRule="auto" w:line="276"/>
        <w:jc w:val="both"/>
      </w:pPr>
      <w:r>
        <w:rPr>
          <w:rFonts w:ascii="Times New Roman" w:hAnsi="Times New Roman" w:cs="Times New Roman" w:eastAsia="Times New Roman"/>
          <w:b w:val="false"/>
          <w:sz w:val="26"/>
        </w:rPr>
        <w:t>Bộ Ngoại giao thẩm định hồ sơ và cấp Giấy phép lập Văn phòng thường trú tại Việt Nam cho cơ quan báo chí nước ngoài nếu được chấp thuận.	</w:t>
      </w:r>
    </w:p>
    <w:p>
      <w:pPr>
        <w:shd w:val="clear" w:color="auto" w:fill="F2F6F9"/>
        <w:spacing w:after="0" w:before="120" w:lineRule="auto" w:line="276"/>
        <w:jc w:val="both"/>
      </w:pPr>
      <w:r>
        <w:rPr>
          <w:rFonts w:ascii="Times New Roman" w:hAnsi="Times New Roman" w:cs="Times New Roman" w:eastAsia="Times New Roman"/>
          <w:b w:val="true"/>
          <w:sz w:val="26"/>
        </w:rPr>
        <w:t>Nhận Giấy phép	</w:t>
      </w:r>
    </w:p>
    <w:p>
      <w:pPr>
        <w:spacing w:after="0" w:before="0" w:lineRule="auto" w:line="276"/>
        <w:jc w:val="both"/>
      </w:pPr>
      <w:r>
        <w:rPr>
          <w:rFonts w:ascii="Times New Roman" w:hAnsi="Times New Roman" w:cs="Times New Roman" w:eastAsia="Times New Roman"/>
          <w:b w:val="false"/>
          <w:sz w:val="26"/>
        </w:rPr>
        <w:t>Phóng viên thường trú của Văn phòng thường trú đến Bộ Ngoại giao nhận Giấy phép mở văn phòng báo chí thường trú tại Việt Nam (trong vòng 30 ngày kể từ khi nhận được thông báo chấp thuận).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60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60 ngày làm việc 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người đứng đầu cơ quan báo chí nước ngoài hoặc của người được người đứng đầu cơ quan báo chí nước ngoài ủy quyền theo mẫu do Bộ Ngoại giao ban hành.</w:t>
            </w:r>
          </w:p>
        </w:tc>
        <w:tc>
          <w:p/>
          <w:p>
            <w:pPr>
              <w:spacing w:after="0" w:before="0" w:lineRule="auto" w:line="276"/>
              <w:jc w:val="left"/>
            </w:pPr>
            <w:r>
              <w:rPr>
                <w:rFonts w:ascii="Times New Roman" w:hAnsi="Times New Roman" w:cs="Times New Roman" w:eastAsia="Times New Roman"/>
                <w:b w:val="false"/>
                <w:sz w:val="26"/>
              </w:rPr>
              <w:t>mau 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Giấy chứng nhận tư cách pháp nhân của cơ quan báo chí nước ngoài đã được hợp pháp hóa, trừ trường hợp được miễn hợp pháp hóa theo quy định của điều ước quốc tế mà Việt Nam và nước liên quan là thành viên hoặc theo nguyên tắc có đi có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Thông tin cơ bản về cơ quan báo chí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 hoặc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Văn phòng báo chí thường trú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06/2012/TT-BNG</w:t>
            </w:r>
          </w:p>
        </w:tc>
        <w:tc>
          <w:p/>
          <w:p>
            <w:pPr>
              <w:spacing w:after="0" w:before="0" w:lineRule="auto" w:line="276"/>
              <w:jc w:val="left"/>
            </w:pPr>
            <w:r>
              <w:rPr>
                <w:rFonts w:ascii="Times New Roman" w:hAnsi="Times New Roman" w:cs="Times New Roman" w:eastAsia="Times New Roman"/>
                <w:b w:val="false"/>
                <w:sz w:val="26"/>
              </w:rPr>
              <w:t>Thông tư 06/2012/TT-BNG</w:t>
            </w:r>
          </w:p>
        </w:tc>
        <w:tc>
          <w:p/>
          <w:p>
            <w:pPr>
              <w:spacing w:after="0" w:before="0" w:lineRule="auto" w:line="276"/>
              <w:jc w:val="left"/>
            </w:pPr>
            <w:r>
              <w:rPr>
                <w:rFonts w:ascii="Times New Roman" w:hAnsi="Times New Roman" w:cs="Times New Roman" w:eastAsia="Times New Roman"/>
                <w:b w:val="false"/>
                <w:sz w:val="26"/>
              </w:rPr>
              <w:t>10-12-2012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2025-11-27T16:32:34Z</dcterms:created>
  <dc:creator>Apache POI</dc:creator>
</cp:coreProperties>
</file>