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524/QĐ-BTP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Bổ nhiệm và cấp thẻ giám định viên tư pháp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Giám định tư pháp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tịch Ủy ban nhân dân tỉnh, thành phố trực thuộc trung ương (sau đây gọi chung là cấp tỉnh) bổ nhiệm và cấp thẻ giám định viên tư pháp ở địa phương.
Người đứng đầu cơ quan chuyên môn của Ủy ban nhân dân cấp tỉnh quản lý lĩnh vực giám định tư pháp chủ trì, phối hợp với Giám đốc Sở Tư pháp lựa chọn người có đủ tiêu chuẩn (quy định tại khoản 1 Điều 7 của Luật giám định tư pháp) tiếp nhận hồ sơ của người đề nghị bổ nhiệm và cấp thẻ giám định viên tư pháp (quy định tại Điều 8 của Luật giám định tư pháp) đề nghị Chủ tịch Ủy ban nhân dân cấp tỉnh bổ nhiệm và cấp thẻ giám định viên tư pháp ở địa phương. 
Trong thời hạn 20 ngày kể từ ngày nhận được hồ sơ hợp lệ, Chủ tịch Ủy ban nhân dân cấp tỉnh quyết định bổ nhiệm và cấp thẻ giám định viên tư pháp. Trường hợp từ chối thì phải thông báo cho người đề nghị bằng văn bản và nêu rõ lý do.
Trong thời hạn 10 ngày, kể từ ngày nhận được quyết định bổ nhiệm và cấp thẻ giám định viên tư pháp kèm theo hồ sơ quy định tại khoản 1 Điều 6 Thông tư số 11/2020/TT-BTP ngày 31/12/2020 của Bộ trưởng Bộ Tư pháp quy định về mẫu thẻ, trình tự, thủ tục cấp mới, cấp lại thẻ giám định viên tư pháp, Giám đốc Sở Tư pháp giúp Chủ tịch Ủy ban nhân dân cấp tỉnh thực hiện cấp thẻ giám định viên tư pháp.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 Chủ tịch Ủy ban nhân dân cấp tỉnh quyết định bổ nhiệm và cấp thẻ giám định viên tư pháp. Trường hợp từ chối thì phải thông báo cho người đề nghị bằng văn bản và nêu rõ lý do.
Trong thời hạn 10 ngày, kể từ ngày nhận được quyết định bổ nhiệm và cấp thẻ giám định viên tư pháp kèm theo hồ sơ quy định tại khoản 1 Điều 6 Thông tư số 11/2020/TT-BTP ngày 31/12/2020 của Bộ trưởng Bộ Tư pháp quy định về mẫu thẻ, trình tự, thủ tục cấp mới, cấp lại thẻ giám định viên tư pháp, Giám đốc Sở Tư pháp giúp Chủ tịch Ủy ban nhân dân cấp tỉnh cấp thẻ giám định viên tư pháp.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hợp lệ, Chủ tịch Ủy ban nhân dân cấp tỉnh quyết định bổ nhiệm và cấp thẻ giám định viên tư pháp. Trường hợp từ chối thì phải thông báo cho người đề nghị bằng văn bản và nêu rõ lý do.
Trong thời hạn 10 ngày, kể từ ngày nhận được quyết định bổ nhiệm và cấp thẻ giám định viên tư pháp kèm theo hồ sơ quy định tại khoản 1 Điều 6 Thông tư số 11/2020/TT-BTP ngày 31/12/2020 của Bộ trưởng Bộ Tư pháp quy định về mẫu thẻ, trình tự, thủ tục cấp mới, cấp lại thẻ giám định viên tư pháp, Giám đốc Sở Tư pháp giúp Chủ tịch Ủy ban nhân dân cấp tỉnh cấp thẻ giám định viên tư pháp.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xác nhận về thời gian thực tế hoạt động chuyên môn của cơ quan, tổ chức nơi người được đề nghị bổ nhiệm làm việc.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chỉ đào tạo hoặc bồi dưỡng nghiệp vụ giám định đối với người được đề nghị bổ nhiệm giám định viên tư pháp trong lĩnh vực pháp y, pháp y tâm thần và kỹ thuật hình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bằng tốt nghiệp đại học trở lên phù hợp với lĩnh vực chuyên môn được đề nghị bổ nhiệm.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đề nghị bổ nhiệm giám định viên tư pháp của cơ quan, tổ chức có thẩm quyền đề nghị quy định tại khoản 2 Điều 9 của Luật Giám định tư pháp hoặc đơn đề nghị bổ nhiệm giám định viên tư pháp của cá nhân đã là giám định viên tư pháp nhưng bị miễn nhiệm do nghỉ hưu hoặc thôi việc để thành lập Văn phòng giám định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và Phiếu lý lịch tư pháp. Trường hợp người được đề nghị bổ nhiệm giám định viên tư pháp đang là công chức, viên chức, sĩ quan quân đội, sĩ quan công an nhân dân, quân nhân chuyên nghiệp, công nhân quốc phòng thì không cần có Phiếu lý lịch tư pháp.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màu chân dung cỡ 2cm x 3cm (chụp trong thời gian 6 tháng gần nhất) để phục vụ việc cấp thẻ.</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giám định viên tư pháp, Quyết định bổ nhiệm và cấp thẻ giám định viên tư pháp (cấp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13/2012/QH13</w:t>
            </w:r>
          </w:p>
        </w:tc>
        <w:tc>
          <w:p/>
          <w:p>
            <w:pPr>
              <w:spacing w:after="0" w:before="0" w:lineRule="auto" w:line="276"/>
              <w:jc w:val="left"/>
            </w:pPr>
            <w:r>
              <w:rPr>
                <w:rFonts w:ascii="Times New Roman" w:hAnsi="Times New Roman" w:cs="Times New Roman" w:eastAsia="Times New Roman"/>
                <w:b w:val="false"/>
                <w:sz w:val="26"/>
              </w:rPr>
              <w:t>Luật 13/2012/QH13</w:t>
            </w:r>
          </w:p>
        </w:tc>
        <w:tc>
          <w:p/>
          <w:p>
            <w:pPr>
              <w:spacing w:after="0" w:before="0" w:lineRule="auto" w:line="276"/>
              <w:jc w:val="left"/>
            </w:pPr>
            <w:r>
              <w:rPr>
                <w:rFonts w:ascii="Times New Roman" w:hAnsi="Times New Roman" w:cs="Times New Roman" w:eastAsia="Times New Roman"/>
                <w:b w:val="false"/>
                <w:sz w:val="26"/>
              </w:rPr>
              <w:t>20-06-2012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56/2020/QH14</w:t>
            </w:r>
          </w:p>
        </w:tc>
        <w:tc>
          <w:p/>
          <w:p>
            <w:pPr>
              <w:spacing w:after="0" w:before="0" w:lineRule="auto" w:line="276"/>
              <w:jc w:val="left"/>
            </w:pPr>
            <w:r>
              <w:rPr>
                <w:rFonts w:ascii="Times New Roman" w:hAnsi="Times New Roman" w:cs="Times New Roman" w:eastAsia="Times New Roman"/>
                <w:b w:val="false"/>
                <w:sz w:val="26"/>
              </w:rPr>
              <w:t>Luật 56/2020/QH14</w:t>
            </w:r>
          </w:p>
        </w:tc>
        <w:tc>
          <w:p/>
          <w:p>
            <w:pPr>
              <w:spacing w:after="0" w:before="0" w:lineRule="auto" w:line="276"/>
              <w:jc w:val="left"/>
            </w:pPr>
            <w:r>
              <w:rPr>
                <w:rFonts w:ascii="Times New Roman" w:hAnsi="Times New Roman" w:cs="Times New Roman" w:eastAsia="Times New Roman"/>
                <w:b w:val="false"/>
                <w:sz w:val="26"/>
              </w:rPr>
              <w:t>10-06-2020</w:t>
            </w:r>
          </w:p>
        </w:tc>
        <w:tc>
          <w:p/>
        </w:tc>
      </w:tr>
      <w:tr>
        <w:tc>
          <w:p/>
          <w:p>
            <w:pPr>
              <w:spacing w:after="0" w:before="0" w:lineRule="auto" w:line="276"/>
              <w:jc w:val="left"/>
            </w:pPr>
            <w:r>
              <w:rPr>
                <w:rFonts w:ascii="Times New Roman" w:hAnsi="Times New Roman" w:cs="Times New Roman" w:eastAsia="Times New Roman"/>
                <w:b w:val="false"/>
                <w:sz w:val="26"/>
              </w:rPr>
              <w:t>11/2020/TT-BTP</w:t>
            </w:r>
          </w:p>
        </w:tc>
        <w:tc>
          <w:p/>
          <w:p>
            <w:pPr>
              <w:spacing w:after="0" w:before="0" w:lineRule="auto" w:line="276"/>
              <w:jc w:val="left"/>
            </w:pPr>
            <w:r>
              <w:rPr>
                <w:rFonts w:ascii="Times New Roman" w:hAnsi="Times New Roman" w:cs="Times New Roman" w:eastAsia="Times New Roman"/>
                <w:b w:val="false"/>
                <w:sz w:val="26"/>
              </w:rPr>
              <w:t>Thông tư 11/2020/TT-BTP</w:t>
            </w:r>
          </w:p>
        </w:tc>
        <w:tc>
          <w:p/>
          <w:p>
            <w:pPr>
              <w:spacing w:after="0" w:before="0" w:lineRule="auto" w:line="276"/>
              <w:jc w:val="left"/>
            </w:pPr>
            <w:r>
              <w:rPr>
                <w:rFonts w:ascii="Times New Roman" w:hAnsi="Times New Roman" w:cs="Times New Roman" w:eastAsia="Times New Roman"/>
                <w:b w:val="false"/>
                <w:sz w:val="26"/>
              </w:rPr>
              <w:t>31-12-2020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Công dân Việt Nam thường trú tại Việt Nam có đủ các tiêu chuẩn sau đây có thể được xem xét, bổ nhiệm giám định viên tư pháp:
+ Có sức khỏe, phẩm chất đạo đức tốt;
+ Có trình độ đại học trở lên và đã qua thực tế hoạt động chuyên môn ở lĩnh vực được đào tạo từ đủ 05 năm trở lên.
Trường hợp người được đề nghị bổ nhiệm giám định viên pháp y, pháp y tâm thần, kỹ thuật hình sự đã trực tiếp giúp việc trong hoạt động giám định ở tổ chức giám định pháp y, pháp y tâm thần, kỹ thuật hình sự thì thời gian hoạt động thực tế chuyên môn từ đủ 03 năm trở lên;
+ Đối với người được đề nghị bổ nhiệm giám định viên tư pháp trong lĩnh vực pháp y, pháp y tâm thần và kỹ thuật hình sự phải có chứng chỉ đã qua đào tạo hoặc bồi dưỡng nghiệp vụ giám định.
-  Người thuộc một trong các trường hợp sau đây không được bổ nhiệm giám định viên tư pháp: 
 + Mất năng lực hành vi dân sự hoặc bị hạn chế năng lực hành vi dân sự;
 + Đang bị truy cứu trách nhiệm hình sự; đã bị kết án mà chưa được xoá án tích về tội phạm do vô ý hoặc tội phạm ít nghiêm trọng do cố ý; đã bị kết án về tội phạm nghiêm trọng, tội phạm rất nghiêm trọng, tội phạm đặc biệt nghiêm trọng do cố ý;
 + Đang bị áp dụng biện pháp xử lý hành chính giáo dục tại xã, phường, thị trấn, đưa vào cơ sở cai nghiện bắt buộc hoặc đưa vào cơ sở giáo dục bắt buộc.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2025-11-27T16:32:42Z</dcterms:created>
  <dc:creator>Apache POI</dc:creator>
</cp:coreProperties>
</file>