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1.001127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điều chỉnh hoạt động liên kết đào tạo trình độ đại học, thạc sĩ, tiến sĩ</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Các bên liên kết nộp hồ sơ cho Bộ Giáo dục và Đào tạo đối với hồ sơ phê duyệt gia hạn hoặc điều chỉnh liên kết đào tạo trình độ đại học, thạc sĩ, tiến sĩ với nước ngoài (trừ trường hợp thuộc thẩm quyền quy định tại khoản 5 Điều 45 Luật Giáo dục đại học (sửa đổi, bổ sung năm 2018) và điểm e, khoản 1 Điều 13 Nghị định số 99/2019/NĐ-CP ngày 30 tháng 12 năm 2019 của Chính phủ quy định chi tiết và hướng dẫn thi hành một số điều của Luật sửa đổi, bổ sung một số điều của Luật Giáo dục đại học và các quy định của pháp luật có liên quan)</w:t>
      </w:r>
    </w:p>
    <w:p>
      <w:pPr>
        <w:spacing w:after="0" w:before="0" w:lineRule="auto" w:line="276"/>
        <w:jc w:val="both"/>
      </w:pPr>
      <w:r>
        <w:rPr>
          <w:rFonts w:ascii="Times New Roman" w:hAnsi="Times New Roman" w:cs="Times New Roman" w:eastAsia="Times New Roman"/>
          <w:b w:val="false"/>
          <w:sz w:val="26"/>
        </w:rPr>
        <w:t>Bước 2: Trong thời hạn 05 ngày làm việc, kể từ ngày tiếp nhận hồ sơ, nếu hồ sơ không đầy đủ theo quy định, cơ quan tiếp nhận hồ sơ thông báo bằng văn bản gửi trực tiếp hoặc qua dịch vụ bưu chính hoặc thư điện tử cho các bên liên kết.</w:t>
      </w:r>
    </w:p>
    <w:p>
      <w:pPr>
        <w:spacing w:after="0" w:before="0" w:lineRule="auto" w:line="276"/>
        <w:jc w:val="both"/>
      </w:pPr>
      <w:r>
        <w:rPr>
          <w:rFonts w:ascii="Times New Roman" w:hAnsi="Times New Roman" w:cs="Times New Roman" w:eastAsia="Times New Roman"/>
          <w:b w:val="false"/>
          <w:sz w:val="26"/>
        </w:rPr>
        <w:t>Bước 3: Trong thời hạn 10 ngày làm việc, kể từ ngày nhận được hồ sơ hợp lệ, cơ quan tiếp nhận hồ sơ tổ chức thẩm định, quyết định phê duyệt gia hạn hoặc điều chỉnh liên kết đào tạo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10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gia hạn hoặc điều chỉnh liên kết giáo dục do các bên liên kết cùng ký theo Mấu số 11 tại Phụ lục Nghị định số 86/2018/NĐ-CP</w:t>
            </w:r>
          </w:p>
        </w:tc>
        <w:tc>
          <w:p/>
          <w:p>
            <w:pPr>
              <w:spacing w:after="0" w:before="0" w:lineRule="auto" w:line="276"/>
              <w:jc w:val="left"/>
            </w:pPr>
            <w:r>
              <w:rPr>
                <w:rFonts w:ascii="Times New Roman" w:hAnsi="Times New Roman" w:cs="Times New Roman" w:eastAsia="Times New Roman"/>
                <w:b w:val="false"/>
                <w:sz w:val="26"/>
              </w:rPr>
              <w:t>Mẫu số 11.docx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tổng kết hoạt động liên kết đào tạo trong thời gian được cấp phép</w:t>
            </w:r>
          </w:p>
        </w:tc>
        <w:tc>
          <w:p/>
          <w:p>
            <w:pPr>
              <w:spacing w:after="0" w:before="0" w:lineRule="auto" w:line="276"/>
              <w:jc w:val="left"/>
            </w:pPr>
            <w:r>
              <w:rPr>
                <w:rFonts w:ascii="Times New Roman" w:hAnsi="Times New Roman" w:cs="Times New Roman" w:eastAsia="Times New Roman"/>
                <w:b w:val="false"/>
                <w:sz w:val="26"/>
              </w:rPr>
              <w:t>Mẫu số 47b.docx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Thỏa thuận (Hợp đồng) hợp tác đang còn hiệu lực giữa các bên liên kết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có vốn đầu tư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trưởng Bộ Giáo dục và Đào tạo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gia hạn hoặc điều chỉnh liên kết đào tạo của cấp có thẩm quyền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Việc gia hạn LKĐT phải thực hiện trong thời hạn 06 tháng trước khi liên kết đào tạo hết thời hạn. Việc điều chỉnh liên kết đào tạo thực hiện khi có yêu cầu của các bên liên kết.
- Thực hiện đúng quy định trong Quyết định phê duyệt liên kết đào tạo;
- Không có hành vi vi phạm pháp luật Việt Nam và pháp luật nước ngoài;
- Chương trình liên kết đào tạo tiếp tục đáp ứng các điều kiện về kiểm định chất lượng.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https://thutuc.dichvucong.gov.vn/p/home/dvc-tthc-thu-tuc-hanh-chinh-chi-tiet.html?ma_thu_tuc=1681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2025-11-27T16:32:45Z</dcterms:created>
  <dc:creator>Apache POI</dc:creator>
</cp:coreProperties>
</file>