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1.001128</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753/QĐ-BKHCN</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Thủ tục hỗ trợ doanh nghiệp có dự án thuộc ngành, nghề ưu đãi đầu tư, địa bàn ưu đãi đầu tư nhận chuyển giao công nghệ từ tổ chức khoa học và công nghệ</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Hoạt động khoa học và công nghệ</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Doanh nghiệp nộp hồ sơ đề nghị hỗ trợ kinh phí thực hiện nhiệm vụ khoa học và công nghệ cấp quốc gia, cấp bộ phục vụ hoạt động chuyển giao công nghệ đến Bộ, ngành được giao quản lý nhiệm vụ. 
- Bộ, ngành được giao quản lý nhiệm vụ xem xét, thành lập Hội đồng tư vấn xác định nhiệm vụ khoa học và công nghệ. 
- Trong thời hạn 15 ngày làm việc kể từ khi có kết quả làm việc của hội đồng tư vấn, Bộ, ngành được giao quản lý nhiệm vụ ra quyết định phê duyệt nhiệm vụ khoa học và công nghệ được hỗ trợ.
- Trong thời hạn 15 ngày làm việc kể từ ngày phê duyệt, Bộ, ngành được giao quản lý nhiệm vụ công bố công khai nhiệm vụ khoa học và công nghệ được hỗ trợ trên Cổng thông tin điện tử của bộ, ngành.</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15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Phê duyệt nhiệm vụ khoa học và công nghệ được hỗ trợ: Trong thời hạn 15 ngày làm việc kể từ khi có kết quả làm việc của hội đồng tư vấn xác định nhiệm vụ.</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15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Công bố công khai nhiệm vụ khoa học và công nghệ trên cổng thông tin điện tử của bộ, ngành quản lý: Trong thời hạn 15 ngày làm việc kể từ ngày phê duyệt nhiệm vụ khoa học và công nghệ được hỗ trợ</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15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Phê duyệt nhiệm vụ khoa học và công nghệ được hỗ trợ: Trong thời hạn 15 ngày làm việc kể từ khi có kết quả làm việc của hội đồng tư vấn xác định nhiệm vụ.</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15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Công bố công khai nhiệm vụ khoa học và công nghệ trên cổng thông tin điện tử của bộ, ngành quản lý: Trong thời hạn 15 ngày làm việc kể từ ngày phê duyệt nhiệm vụ khoa học và công nghệ được hỗ trợ.</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15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Phê duyệt nhiệm vụ khoa học và công nghệ được hỗ trợ: Trong thời hạn 15 ngày làm việc kể từ khi có kết quả làm việc của hội đồng tư vấn xác định nhiệm vụ.</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15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Công bố công khai nhiệm vụ khoa học và công nghệ trên cổng thông tin điện tử của bộ, ngành quản lý: Trong thời hạn 15 ngày làm việc kể từ ngày phê duyệt nhiệm vụ khoa học và công nghệ được hỗ trợ.</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Phiếu đề xuất nhiệm vụ khoa học và công nghệ (theo Mẫu);;</w:t>
            </w:r>
          </w:p>
        </w:tc>
        <w:tc>
          <w:p/>
          <w:p>
            <w:pPr>
              <w:spacing w:after="0" w:before="0" w:lineRule="auto" w:line="276"/>
              <w:jc w:val="left"/>
            </w:pPr>
            <w:r>
              <w:rPr>
                <w:rFonts w:ascii="Times New Roman" w:hAnsi="Times New Roman" w:cs="Times New Roman" w:eastAsia="Times New Roman"/>
                <w:b w:val="false"/>
                <w:sz w:val="26"/>
              </w:rPr>
              <w:t>PhiuxutnhimvTTHC02MuA1.docx</w:t>
            </w:r>
          </w:p>
          <w:p>
            <w:pPr>
              <w:spacing w:after="0" w:before="0" w:lineRule="auto" w:line="276"/>
              <w:jc w:val="left"/>
            </w:pPr>
            <w:r>
              <w:rPr>
                <w:rFonts w:ascii="Times New Roman" w:hAnsi="Times New Roman" w:cs="Times New Roman" w:eastAsia="Times New Roman"/>
                <w:b w:val="false"/>
                <w:sz w:val="26"/>
              </w:rPr>
              <w:t>PhiuxutnhimvTTHC02MuA2.docx</w:t>
            </w:r>
          </w:p>
          <w:p>
            <w:pPr>
              <w:spacing w:after="0" w:before="0" w:lineRule="auto" w:line="276"/>
              <w:jc w:val="left"/>
            </w:pPr>
            <w:r>
              <w:rPr>
                <w:rFonts w:ascii="Times New Roman" w:hAnsi="Times New Roman" w:cs="Times New Roman" w:eastAsia="Times New Roman"/>
                <w:b w:val="false"/>
                <w:sz w:val="26"/>
              </w:rPr>
              <w:t>PhiuxutnhimvTTHC02MuA3.docx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Hợp đồng chuyển giao công nghệ hoặc Giấy chứng nhận đăng ký chuyển giao công nghệ (nếu thuộc đối tượng phải đăng ký chuyển giao công nghệ);</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Văn bản xác nhận đồng ý tham gia của các tổ chức khác phối hợp nghiên cứu thực hiện nhiệm vụ (nếu có);</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Tài liệu khác liên quan đến nhiệm vụ (nếu có).</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 Doanh nghiệp có vốn đầu tư nước ngoài</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Bộ, cơ quan ngang Bộ, cơ quan thuộc Chính phủ</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Quyết định phê duyệt nhiệm vụ khoa học và công nghệ được hỗ trợ.</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29/2013/QH13</w:t>
            </w:r>
          </w:p>
        </w:tc>
        <w:tc>
          <w:p/>
          <w:p>
            <w:pPr>
              <w:spacing w:after="0" w:before="0" w:lineRule="auto" w:line="276"/>
              <w:jc w:val="left"/>
            </w:pPr>
            <w:r>
              <w:rPr>
                <w:rFonts w:ascii="Times New Roman" w:hAnsi="Times New Roman" w:cs="Times New Roman" w:eastAsia="Times New Roman"/>
                <w:b w:val="false"/>
                <w:sz w:val="26"/>
              </w:rPr>
              <w:t>Luật 29/2013/QH13</w:t>
            </w:r>
          </w:p>
        </w:tc>
        <w:tc>
          <w:p/>
          <w:p>
            <w:pPr>
              <w:spacing w:after="0" w:before="0" w:lineRule="auto" w:line="276"/>
              <w:jc w:val="left"/>
            </w:pPr>
            <w:r>
              <w:rPr>
                <w:rFonts w:ascii="Times New Roman" w:hAnsi="Times New Roman" w:cs="Times New Roman" w:eastAsia="Times New Roman"/>
                <w:b w:val="false"/>
                <w:sz w:val="26"/>
              </w:rPr>
              <w:t>18-06-2013</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07/2017/QH14</w:t>
            </w:r>
          </w:p>
        </w:tc>
        <w:tc>
          <w:p/>
          <w:p>
            <w:pPr>
              <w:spacing w:after="0" w:before="0" w:lineRule="auto" w:line="276"/>
              <w:jc w:val="left"/>
            </w:pPr>
            <w:r>
              <w:rPr>
                <w:rFonts w:ascii="Times New Roman" w:hAnsi="Times New Roman" w:cs="Times New Roman" w:eastAsia="Times New Roman"/>
                <w:b w:val="false"/>
                <w:sz w:val="26"/>
              </w:rPr>
              <w:t>Luật 07/2017/QH14</w:t>
            </w:r>
          </w:p>
        </w:tc>
        <w:tc>
          <w:p/>
          <w:p>
            <w:pPr>
              <w:spacing w:after="0" w:before="0" w:lineRule="auto" w:line="276"/>
              <w:jc w:val="left"/>
            </w:pPr>
            <w:r>
              <w:rPr>
                <w:rFonts w:ascii="Times New Roman" w:hAnsi="Times New Roman" w:cs="Times New Roman" w:eastAsia="Times New Roman"/>
                <w:b w:val="false"/>
                <w:sz w:val="26"/>
              </w:rPr>
              <w:t>19-06-2017</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	76/2018/NĐ-CP</w:t>
            </w:r>
          </w:p>
        </w:tc>
        <w:tc>
          <w:p/>
          <w:p>
            <w:pPr>
              <w:spacing w:after="0" w:before="0" w:lineRule="auto" w:line="276"/>
              <w:jc w:val="left"/>
            </w:pPr>
            <w:r>
              <w:rPr>
                <w:rFonts w:ascii="Times New Roman" w:hAnsi="Times New Roman" w:cs="Times New Roman" w:eastAsia="Times New Roman"/>
                <w:b w:val="false"/>
                <w:sz w:val="26"/>
              </w:rPr>
              <w:t>Nghị định 76/2018/NĐ-CP</w:t>
            </w:r>
          </w:p>
        </w:tc>
        <w:tc>
          <w:p/>
          <w:p>
            <w:pPr>
              <w:spacing w:after="0" w:before="0" w:lineRule="auto" w:line="276"/>
              <w:jc w:val="left"/>
            </w:pPr>
            <w:r>
              <w:rPr>
                <w:rFonts w:ascii="Times New Roman" w:hAnsi="Times New Roman" w:cs="Times New Roman" w:eastAsia="Times New Roman"/>
                <w:b w:val="false"/>
                <w:sz w:val="26"/>
              </w:rPr>
              <w:t>15-05-2018</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06/2023/TT-BKHCN</w:t>
            </w:r>
          </w:p>
        </w:tc>
        <w:tc>
          <w:p/>
          <w:p>
            <w:pPr>
              <w:spacing w:after="0" w:before="0" w:lineRule="auto" w:line="276"/>
              <w:jc w:val="left"/>
            </w:pPr>
            <w:r>
              <w:rPr>
                <w:rFonts w:ascii="Times New Roman" w:hAnsi="Times New Roman" w:cs="Times New Roman" w:eastAsia="Times New Roman"/>
                <w:b w:val="false"/>
                <w:sz w:val="26"/>
              </w:rPr>
              <w:t>Thông tư số 06/2023/TT-BKHCN ngày 25/5/2023 của Bộ trưởng Bộ Khoa học và Công nghệ quy định trình tự, thủ tục xác định nhiệm vụ khoa học và công nghệ cấp quốc gia sử dụng ngân sách nhà nước.</w:t>
            </w:r>
          </w:p>
        </w:tc>
        <w:tc>
          <w:p/>
          <w:p>
            <w:pPr>
              <w:spacing w:after="0" w:before="0" w:lineRule="auto" w:line="276"/>
              <w:jc w:val="left"/>
            </w:pPr>
            <w:r>
              <w:rPr>
                <w:rFonts w:ascii="Times New Roman" w:hAnsi="Times New Roman" w:cs="Times New Roman" w:eastAsia="Times New Roman"/>
                <w:b w:val="false"/>
                <w:sz w:val="26"/>
              </w:rPr>
              <w:t>25-05-2023</w:t>
            </w:r>
          </w:p>
        </w:tc>
        <w:tc>
          <w:p/>
          <w:p>
            <w:pPr>
              <w:spacing w:after="0" w:before="0" w:lineRule="auto" w:line="276"/>
              <w:jc w:val="left"/>
            </w:pPr>
            <w:r>
              <w:rPr>
                <w:rFonts w:ascii="Times New Roman" w:hAnsi="Times New Roman" w:cs="Times New Roman" w:eastAsia="Times New Roman"/>
                <w:b w:val="false"/>
                <w:sz w:val="26"/>
              </w:rPr>
              <w:t>Bộ Khoa học  và  Công nghệ</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Doanh nghiệp xin hỗ trợ phải đáp ứng các điều kiện sau:
- Có dự án đầu tư thuộc ngành nghề ưu đãi đầu tư, địa bàn ưu đãi đầu tư
- Có Hợp đồng chuyển giao công nghệ hoặc Giấy chứng nhận đăng ký chuyển giao công nghệ (nếu thuộc đối tượng phải đăng ký chuyển giao công nghệ);
- Công nghệ được chuyển giao thuộc dự án thuộc ngành nghề ưu đãi đầu tư, địa bàn ưu đãi đầu tư;</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Thủ tục hỗ trợ doanh nghiệp có dự án thuộc ngành, nghề ưu đãi đầu tư, địa bàn ưu đãi đầu tư nhận chuyển giao công nghệ từ tổ chức khoa học và công nghệ</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https://thutuc.dichvucong.gov.vn/p/home/dvc-tthc-thu-tuc-hanh-chinh-chi-tiet.html?ma_thu_tuc=1682</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2025-11-27T16:32:45Z</dcterms:created>
  <dc:creator>Apache POI</dc:creator>
</cp:coreProperties>
</file>