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an toàn kỹ thuật và bảo vệ môi trường cho phương tiện nhập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Nộp hồ sơ TTHC:</w:t>
      </w:r>
    </w:p>
    <w:p>
      <w:pPr>
        <w:spacing w:after="0" w:before="0" w:lineRule="auto" w:line="276"/>
        <w:jc w:val="both"/>
      </w:pPr>
      <w:r>
        <w:rPr>
          <w:rFonts w:ascii="Times New Roman" w:hAnsi="Times New Roman" w:cs="Times New Roman" w:eastAsia="Times New Roman"/>
          <w:b w:val="false"/>
          <w:sz w:val="26"/>
        </w:rPr>
        <w:t>- Tổ chức, cá nhân gửi hồ sơ đề nghị đến đơn vị đăng kiểm (Chi cục Đăng kiểm trực thuộc Cục Đăng kiểm Việt Nam hoặc Đơn vị đăng kiểm trực thuộc Sở Xây dựng).</w:t>
      </w:r>
    </w:p>
    <w:p>
      <w:pPr>
        <w:shd w:val="clear" w:color="auto" w:fill="F2F6F9"/>
        <w:spacing w:after="0" w:before="120" w:lineRule="auto" w:line="276"/>
        <w:jc w:val="both"/>
      </w:pPr>
      <w:r>
        <w:rPr>
          <w:rFonts w:ascii="Times New Roman" w:hAnsi="Times New Roman" w:cs="Times New Roman" w:eastAsia="Times New Roman"/>
          <w:b w:val="true"/>
          <w:sz w:val="26"/>
        </w:rPr>
        <w:t>Giải quyết TTHC:</w:t>
      </w:r>
    </w:p>
    <w:p>
      <w:pPr>
        <w:spacing w:after="0" w:before="0" w:lineRule="auto" w:line="276"/>
        <w:jc w:val="both"/>
      </w:pPr>
      <w:r>
        <w:rPr>
          <w:rFonts w:ascii="Times New Roman" w:hAnsi="Times New Roman" w:cs="Times New Roman" w:eastAsia="Times New Roman"/>
          <w:b w:val="false"/>
          <w:sz w:val="26"/>
        </w:rPr>
        <w:t>- Đơn vị đăng kiểm tiếp nhận hồ sơ và xác nhận vào phiếu; trường hợp hồ sơ không đầy đủ theo quy định thì hướng dẫn hoàn thiện ngay trong ngày làm việc (đối với trường hợp nộp trực tiếp) hoặc hướng dẫn hoàn thiện trong 02 (hai) ngày làm việc (đối với trường hợp nộp hồ sơ qua hệ thống bưu chính hoặc cổng dịch vụ công trực tuyến hoặc hình thức phù hợp khác); nếu hồ sơ đầy đủ thì thống nhất thời gian kiểm tra thực tế tại địa điểm do người nộp hồ sơ yêu cầu.</w:t>
      </w:r>
    </w:p>
    <w:p>
      <w:pPr>
        <w:spacing w:after="0" w:before="0" w:lineRule="auto" w:line="276"/>
        <w:jc w:val="both"/>
      </w:pPr>
      <w:r>
        <w:rPr>
          <w:rFonts w:ascii="Times New Roman" w:hAnsi="Times New Roman" w:cs="Times New Roman" w:eastAsia="Times New Roman"/>
          <w:b w:val="false"/>
          <w:sz w:val="26"/>
        </w:rPr>
        <w:t>- Đơn vị đăng kiểm thực hiện kiểm tra như sau:
+ Đối với phương tiện nhập khẩu đã được tổ chức đăng kiểm nước ngoài kiểm tra, chứng nhận an toàn kỹ thuật: tiến hành kiểm tra thực tế để xác nhận tình trạng kỹ thuật của phương tiện phù hợp với hồ sơ chứng nhận của tổ chức đăng kiểm nước ngoài cấp cho phương tiện và hồ sơ thiết kế được thẩm định;
+ Đối với phương tiện nhập khẩu chưa được tổ chức đăng kiểm nước ngoài kiểm tra và cấp giấy chứng nhận an toàn kỹ thuật: tiến hành kiểm tra thực tế phương tiện với loại hình kiểm tra lần đầu phù hợp với hồ sơ thiết kế được thẩm định;
+ Đối với mô tô nước: tiến hành kiểm tra thực tế phương tiện ở trạng thái hoạt động phù hợp với tài liệu hướng dẫn vận hành.</w:t>
      </w:r>
    </w:p>
    <w:p>
      <w:pPr>
        <w:spacing w:after="0" w:before="0" w:lineRule="auto" w:line="276"/>
        <w:jc w:val="both"/>
      </w:pPr>
      <w:r>
        <w:rPr>
          <w:rFonts w:ascii="Times New Roman" w:hAnsi="Times New Roman" w:cs="Times New Roman" w:eastAsia="Times New Roman"/>
          <w:b w:val="false"/>
          <w:sz w:val="26"/>
        </w:rPr>
        <w:t>- Trong thời hạn 01 (một) ngày làm việc (đối với việc kiểm tra phương tiện cách trụ sở làm việc dưới 70 km) và 02 (hai) ngày làm việc (đối với việc kiểm tra phương tiện cách trụ sở làm việc từ 70 km trở lên hoặc kiểm tra phương tiện ở vùng biển, đảo), kể từ khi kết thúc kiểm tra tại hiện trường, đơn vị đăng kiểm cấp giấy chứng nhận an toàn kỹ thuật và bảo vệ môi trường phương tiện thủy nội địa theo quy định nếu kết quả kiểm tra phương tiện thỏa mãn các quy định của quy chuẩn kỹ thuật quốc gia, tiêu chuẩn quốc gia; thông báo cho tổ chức, cá nhân đề nghị nếu kết quả kiểm tra không đạt yêu cầu.</w:t>
      </w:r>
    </w:p>
    <w:p>
      <w:pPr>
        <w:spacing w:after="0" w:before="0" w:lineRule="auto" w:line="276"/>
        <w:jc w:val="both"/>
      </w:pPr>
      <w:r>
        <w:rPr>
          <w:rFonts w:ascii="Times New Roman" w:hAnsi="Times New Roman" w:cs="Times New Roman" w:eastAsia="Times New Roman"/>
          <w:b w:val="false"/>
          <w:sz w:val="26"/>
        </w:rPr>
        <w:t>- Tổ chức, cá nhân đề nghị kiểm tra phương tiện nhập khẩu nộp giá dịch vụ, lệ phí theo quy định và có thể nhận kết quả trực tiếp tại đơn vị đăng kiểm hoặc qua hệ thống bưu chính hoặc hình thức phù hợp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Tính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dưới 70 km: trong thời hạn 01 (một) ngày làm việc, kể từ khi kết thúc kiểm tra tại hiện trường;</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Tính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từ 70 km trở lên hoặc kiểm tra phương tiện ở vùng biển, đảo: Trong thời hạn 02 (hai) ngày làm việc, kể từ khi kết thúc kiểm tra tại hiện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Tính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dưới 70 km: trong thời hạn 01 (một) ngày làm việc, kể từ khi kết thúc kiểm tra tại hiện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Tính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từ 70 km trở lên hoặc kiểm tra phương tiện ở vùng biển, đảo: Trong thời hạn 02 (hai) ngày làm việc, kể từ khi kết thúc kiểm tra tại hiện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Tính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dưới 70 km: trong thời hạn 01 (một) ngày làm việc, kể từ khi kết thúc kiểm tra tại hiện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Tính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việc kiểm tra phương tiện cách trụ sở làm việc từ 70 km trở lên hoặc kiểm tra phương tiện ở vùng biển, đảo: Trong thời hạn 02 (hai) ngày làm việc, kể từ khi kết thúc kiểm tra tại hiện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kỹ thuật của phương tiện nhập khẩu. Hồ sơ kỹ thuật của phương tiện nhập khẩu quy định như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(một) bản chính hoặc biểu mẫu điện tử Giấy đề nghị kiểm tra theo mẫu quy định;</w:t>
            </w:r>
          </w:p>
        </w:tc>
        <w:tc>
          <w:p/>
          <w:p>
            <w:pPr>
              <w:spacing w:after="0" w:before="0" w:lineRule="auto" w:line="276"/>
              <w:jc w:val="left"/>
            </w:pPr>
            <w:r>
              <w:rPr>
                <w:rFonts w:ascii="Times New Roman" w:hAnsi="Times New Roman" w:cs="Times New Roman" w:eastAsia="Times New Roman"/>
                <w:b w:val="false"/>
                <w:sz w:val="26"/>
              </w:rPr>
              <w:t>Mẫu.docx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có xác nhận của đơn vị nhập khẩu hoặc bản sao điện tử có giá trị pháp lý hồ sơ xác định tuổi của phương tiện (thể hiện trên hồ sơ đăng kiểm hoặc trên giấy chứng nhận xuất xứ hàng hóa (CO) do cơ quan quản lý quốc gia hoặc tổ chức được cơ quan quản lý quốc gia ủy quyền hoặc phòng thương mại quốc tế hoặc các hồ sơ khác do cơ quan quản lý của quốc gia mà phương tiện được đóng đã cấp cho phương tiện);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theo quy định của pháp luật kiểm tra chuyên ngành đối với hàng hóa nhập khẩu và hồ sơ kỹ thuật của phương tiện nhập khẩu. Hồ sơ kỹ thuật của phương tiện nhập khẩu quy định như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phương tiện nhập khẩu đã được tổ chức đăng kiểm nước ngoài kiểm tra, chứng nhận an toàn kỹ thuật: tài liệu kỹ thuật liên quan đến phương tiện (nếu có), hồ sơ chứng nhận do tổ chức đăng kiểm nước ngoài cấp cho phương tiện (bản sao có xác nhận của đơn vị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phương tiện nhập khẩu chưa được tổ chức đăng kiểm nước ngoài kiểm tra và cấp giấy chứng nhận an toàn kỹ thuật: bản sao có xác nhận của đơn vị nhập khẩu các tài liệu kỹ thuật liên quan đến phương tiện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mô tô nước: bản sao có xác nhận của đơn vị nhập khẩu tài liệu hướng dẫn vận hành và bản sao các tài liệu kỹ thuật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kiểm tra theo mẫu (trừ trường hợp đề nghị trực tiếp, gọi điện thoại)</w:t>
            </w:r>
          </w:p>
        </w:tc>
        <w:tc>
          <w:p/>
          <w:p>
            <w:pPr>
              <w:spacing w:after="0" w:before="0" w:lineRule="auto" w:line="276"/>
              <w:jc w:val="left"/>
            </w:pPr>
            <w:r>
              <w:rPr>
                <w:rFonts w:ascii="Times New Roman" w:hAnsi="Times New Roman" w:cs="Times New Roman" w:eastAsia="Times New Roman"/>
                <w:b w:val="false"/>
                <w:sz w:val="26"/>
              </w:rPr>
              <w:t>Mẫu Giấy đề nghị.doc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Các đơn vị đăng kiểm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an toàn kỹ thuật và bảo vệ môi trường cho phương tiện thủy nội địa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48/2015/TT-BGTVT</w:t>
            </w:r>
          </w:p>
        </w:tc>
        <w:tc>
          <w:p/>
          <w:p>
            <w:pPr>
              <w:spacing w:after="0" w:before="0" w:lineRule="auto" w:line="276"/>
              <w:jc w:val="left"/>
            </w:pPr>
            <w:r>
              <w:rPr>
                <w:rFonts w:ascii="Times New Roman" w:hAnsi="Times New Roman" w:cs="Times New Roman" w:eastAsia="Times New Roman"/>
                <w:b w:val="false"/>
                <w:sz w:val="26"/>
              </w:rPr>
              <w:t>Quy định về đăng kiểm phương tiện thủy nội địa</w:t>
            </w:r>
          </w:p>
        </w:tc>
        <w:tc>
          <w:p/>
          <w:p>
            <w:pPr>
              <w:spacing w:after="0" w:before="0" w:lineRule="auto" w:line="276"/>
              <w:jc w:val="left"/>
            </w:pPr>
            <w:r>
              <w:rPr>
                <w:rFonts w:ascii="Times New Roman" w:hAnsi="Times New Roman" w:cs="Times New Roman" w:eastAsia="Times New Roman"/>
                <w:b w:val="false"/>
                <w:sz w:val="26"/>
              </w:rPr>
              <w:t>22-09-2015</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237/2016/TT-BTC</w:t>
            </w:r>
          </w:p>
        </w:tc>
        <w:tc>
          <w:p/>
          <w:p>
            <w:pPr>
              <w:spacing w:after="0" w:before="0" w:lineRule="auto" w:line="276"/>
              <w:jc w:val="left"/>
            </w:pPr>
            <w:r>
              <w:rPr>
                <w:rFonts w:ascii="Times New Roman" w:hAnsi="Times New Roman" w:cs="Times New Roman" w:eastAsia="Times New Roman"/>
                <w:b w:val="false"/>
                <w:sz w:val="26"/>
              </w:rPr>
              <w:t>Thông tư 237/2016/TT-BTC</w:t>
            </w:r>
          </w:p>
        </w:tc>
        <w:tc>
          <w:p/>
          <w:p>
            <w:pPr>
              <w:spacing w:after="0" w:before="0" w:lineRule="auto" w:line="276"/>
              <w:jc w:val="left"/>
            </w:pPr>
            <w:r>
              <w:rPr>
                <w:rFonts w:ascii="Times New Roman" w:hAnsi="Times New Roman" w:cs="Times New Roman" w:eastAsia="Times New Roman"/>
                <w:b w:val="false"/>
                <w:sz w:val="26"/>
              </w:rPr>
              <w:t>11-11-2016</w:t>
            </w:r>
          </w:p>
        </w:tc>
        <w:tc>
          <w:p/>
        </w:tc>
      </w:tr>
      <w:tr>
        <w:tc>
          <w:p/>
          <w:p>
            <w:pPr>
              <w:spacing w:after="0" w:before="0" w:lineRule="auto" w:line="276"/>
              <w:jc w:val="left"/>
            </w:pPr>
            <w:r>
              <w:rPr>
                <w:rFonts w:ascii="Times New Roman" w:hAnsi="Times New Roman" w:cs="Times New Roman" w:eastAsia="Times New Roman"/>
                <w:b w:val="false"/>
                <w:sz w:val="26"/>
              </w:rPr>
              <w:t xml:space="preserve">199/2016/TT-BTC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lệ phí cấp giấy chứng nhận bảo đảm chất lượng, an toàn kỹ thuật đối với máy móc, thiết bị, phương tiện giao thông vận tải có yêu cầu nghiêm ngặt về an toàn</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Thỏa mãn các quy chuẩn, tiêu chuẩn tương ứng: Sửa đổi 1:2016 QCVN 01:2008/BGTVT, Sửa đổi 2:2016 QCVN 17:2011/BGTVT, QCVN 25:2015/BGTVT, QCVN50:2012/BGTVT, QCVN51:2012/BGTVT, QCVN 54:2013/BGTVT, QCVN56:2013/BGTVT, Sửa đổi 1:2015 QCVN 72:2013/BGTVT, QCVN 72:2014/BGTVT, QCVN 84:2014/BGTVT, QCVN 85:2014/BGTVT, QCVN 95:2015/BGTVT, QCVN 96:2016/BGTVT.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https://thutuc.dichvucong.gov.vn/p/home/dvc-tthc-thu-tuc-hanh-chinh-chi-tiet.html?ma_thu_tuc=1690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2025-11-27T16:32:55Z</dcterms:created>
  <dc:creator>Apache POI</dc:creator>
</cp:coreProperties>
</file>