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1.001133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3174/QĐ-BNG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Thẻ phóng viên nước ngoài cho phóng viên thường trú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Báo chí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Thẩm định hồ sơ</w:t>
      </w:r>
    </w:p>
    <w:p>
      <w:pPr>
        <w:spacing w:after="0" w:before="0" w:lineRule="auto" w:line="276"/>
        <w:jc w:val="both"/>
      </w:pPr>
      <w:r>
        <w:rPr>
          <w:rFonts w:ascii="Times New Roman" w:hAnsi="Times New Roman" w:cs="Times New Roman" w:eastAsia="Times New Roman"/>
          <w:b w:val="false"/>
          <w:sz w:val="26"/>
        </w:rPr>
        <w:t>Bộ Ngoại giao thẩm định hồ sơ và cấp Thẻ phóng viên nước ngoài. Trường hợp từ chối cấp, Bộ Ngoại giao có thông báo bằng văn bản</w:t>
      </w:r>
    </w:p>
    <w:p>
      <w:pPr>
        <w:shd w:val="clear" w:color="auto" w:fill="F2F6F9"/>
        <w:spacing w:after="0" w:before="120" w:lineRule="auto" w:line="276"/>
        <w:jc w:val="both"/>
      </w:pPr>
      <w:r>
        <w:rPr>
          <w:rFonts w:ascii="Times New Roman" w:hAnsi="Times New Roman" w:cs="Times New Roman" w:eastAsia="Times New Roman"/>
          <w:b w:val="true"/>
          <w:sz w:val="26"/>
        </w:rPr>
        <w:t>Nộp hồ sơ</w:t>
      </w:r>
    </w:p>
    <w:p>
      <w:pPr>
        <w:spacing w:after="0" w:before="0" w:lineRule="auto" w:line="276"/>
        <w:jc w:val="both"/>
      </w:pPr>
      <w:r>
        <w:rPr>
          <w:rFonts w:ascii="Times New Roman" w:hAnsi="Times New Roman" w:cs="Times New Roman" w:eastAsia="Times New Roman"/>
          <w:b w:val="false"/>
          <w:sz w:val="26"/>
        </w:rPr>
        <w:t>Phóng viên thường trú có yêu cầu cấp Thẻ phóng viên nước ngoài gửi hồ sơ tới Bộ Ngoại giao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kể từ khi nhận đủ hồ sơ đề nghị</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kể từ khi nhận đủ hồ sơ đề nghị</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Thẻ phóng viên nước ngoài của phóng viên thường trú theo mẫu do Bộ Ngoại giao ban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chụp hộ chiếu của phóng viên thường trú.</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02 ảnh chân dung 03 cm x 04 cm của phóng viên thường trú.</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Ngoại giao, Vụ Thông tin Báo chí - Bộ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Ngoại giao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Vụ Thông tin Báo chí (Bộ Ngoại giao)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phóng viên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103/2016/QH13	</w:t>
            </w:r>
          </w:p>
        </w:tc>
        <w:tc>
          <w:p/>
          <w:p>
            <w:pPr>
              <w:spacing w:after="0" w:before="0" w:lineRule="auto" w:line="276"/>
              <w:jc w:val="left"/>
            </w:pPr>
            <w:r>
              <w:rPr>
                <w:rFonts w:ascii="Times New Roman" w:hAnsi="Times New Roman" w:cs="Times New Roman" w:eastAsia="Times New Roman"/>
                <w:b w:val="false"/>
                <w:sz w:val="26"/>
              </w:rPr>
              <w:t>Luật 103/2016/QH13	</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88/2012/NĐ-CP</w:t>
            </w:r>
          </w:p>
        </w:tc>
        <w:tc>
          <w:p/>
          <w:p>
            <w:pPr>
              <w:spacing w:after="0" w:before="0" w:lineRule="auto" w:line="276"/>
              <w:jc w:val="left"/>
            </w:pPr>
            <w:r>
              <w:rPr>
                <w:rFonts w:ascii="Times New Roman" w:hAnsi="Times New Roman" w:cs="Times New Roman" w:eastAsia="Times New Roman"/>
                <w:b w:val="false"/>
                <w:sz w:val="26"/>
              </w:rPr>
              <w:t>Nghị định 88/2012/NĐ-CP</w:t>
            </w:r>
          </w:p>
        </w:tc>
        <w:tc>
          <w:p/>
          <w:p>
            <w:pPr>
              <w:spacing w:after="0" w:before="0" w:lineRule="auto" w:line="276"/>
              <w:jc w:val="left"/>
            </w:pPr>
            <w:r>
              <w:rPr>
                <w:rFonts w:ascii="Times New Roman" w:hAnsi="Times New Roman" w:cs="Times New Roman" w:eastAsia="Times New Roman"/>
                <w:b w:val="false"/>
                <w:sz w:val="26"/>
              </w:rPr>
              <w:t>23-10-2012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06/2012/TT-BNG</w:t>
            </w:r>
          </w:p>
        </w:tc>
        <w:tc>
          <w:p/>
          <w:p>
            <w:pPr>
              <w:spacing w:after="0" w:before="0" w:lineRule="auto" w:line="276"/>
              <w:jc w:val="left"/>
            </w:pPr>
            <w:r>
              <w:rPr>
                <w:rFonts w:ascii="Times New Roman" w:hAnsi="Times New Roman" w:cs="Times New Roman" w:eastAsia="Times New Roman"/>
                <w:b w:val="false"/>
                <w:sz w:val="26"/>
              </w:rPr>
              <w:t>Thông tư 06/2012/TT-BNG</w:t>
            </w:r>
          </w:p>
        </w:tc>
        <w:tc>
          <w:p/>
          <w:p>
            <w:pPr>
              <w:spacing w:after="0" w:before="0" w:lineRule="auto" w:line="276"/>
              <w:jc w:val="left"/>
            </w:pPr>
            <w:r>
              <w:rPr>
                <w:rFonts w:ascii="Times New Roman" w:hAnsi="Times New Roman" w:cs="Times New Roman" w:eastAsia="Times New Roman"/>
                <w:b w:val="false"/>
                <w:sz w:val="26"/>
              </w:rPr>
              <w:t>10-12-2012</w:t>
            </w:r>
          </w:p>
        </w:tc>
        <w:tc>
          <w:p/>
          <w:p>
            <w:pPr>
              <w:spacing w:after="0" w:before="0" w:lineRule="auto" w:line="276"/>
              <w:jc w:val="left"/>
            </w:pPr>
            <w:r>
              <w:rPr>
                <w:rFonts w:ascii="Times New Roman" w:hAnsi="Times New Roman" w:cs="Times New Roman" w:eastAsia="Times New Roman"/>
                <w:b w:val="false"/>
                <w:sz w:val="26"/>
              </w:rPr>
              <w:t>Bộ Ngoại giao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Trường hợp từ chối, Bộ Ngoại giao thông báo bằng văn bản cho phóng viên nước ngoài
2.	Thẻ phóng viên nước ngoài có giá trị không quá 12 tháng, phù hợp với thời hạn thị thực nhập – xuất cảnh của phóng viên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2025-11-27T16:33:04Z</dcterms:created>
  <dc:creator>Apache POI</dc:creator>
</cp:coreProperties>
</file>