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tạm trú cho người nước ngoài tại Việt Nam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Công an cấp tỉnh trên Cổng dịch vụ công trực tuyến (nếu có).
* Cán bộ tiếp nhận hồ sơ kiểm tra tính pháp lý và nội dung hồ sơ: 
+ Trường hợp hồ sơ đã đầy đủ, hợp lệ thì cấp giấy hẹn trả kết quả cho người đề nghị gia hạn tạm trú; yêu cầu nộp phí cho cán bộ thu phí, cán bộ thu phí thu tiền, giao biên lai thu tiền cho người đề nghị gia hạn tạm trú hoặc thông báo trên Cổng dịch vụ công quốc gia hoặc Cổng dịch vụ công Bộ Công an để người đề nghị gia hạn tạm trú thanh toán trực tuyến và nhận biên lai điện tử.
+ Trường hợp hồ sơ thiếu hoặc không hợp lệ thì cán bộ tiếp nhận hồ sơ hướng dẫn hoặc thông báo trên Cổng dịch vụ công quốc gia hoặc Cổng dịch vụ công Bộ Công an để người đề nghị gia hạn tạm trú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gia hạn tạm trú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gia hạn tạm trú đến nhận kết quả trực tiếp nhận kết quả tại Cơ quan Quản lý xuất nhập cảnh Công an cấp tỉnh. Khi đến nhận kết quả mang theo giấy hẹn trả kết quả để kiểm tra, đối chiếu. Trường hợp đề nghị nhận kết quả qua dịch vụ bưu chính thực hiện theo hướng dẫn của cơ quan cung cấp dịch vụ bưu chính.
+ Trường hợp không đồng  ý gia hạn tạm trú thì trả lời bằng văn bản hoặc thông báo trên Cổng dịch vụ công quốc gia hoặc Cổng dịch vụ công Bộ Công an và nêu rõ lý do.
+ Thời gian trả kết quả: Từ thứ 2 đến thứ 6 hàng tuần (trừ ngày Tết, ngày lễ).</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không quá 05 ngày làm việc kể từ khi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khi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kể từ khi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thị thực, gia hạn tạm trú (mẫu NA5) ban hành kèm theo Thông tư số 22/2023/TT-BCA ngày 30/6/2023 của Bộ Công an.</w:t>
            </w:r>
          </w:p>
        </w:tc>
        <w:tc>
          <w:p/>
          <w:p>
            <w:pPr>
              <w:spacing w:after="0" w:before="0" w:lineRule="auto" w:line="276"/>
              <w:jc w:val="left"/>
            </w:pPr>
            <w:r>
              <w:rPr>
                <w:rFonts w:ascii="Times New Roman" w:hAnsi="Times New Roman" w:cs="Times New Roman" w:eastAsia="Times New Roman"/>
                <w:b w:val="false"/>
                <w:sz w:val="26"/>
              </w:rPr>
              <w:t>NA5.doc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Hộ chiếu hoặc giấy tờ có giá trị đi lại quốc tế của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hộ chiếu hoặc giấy tờ có giá trị đi lại quốc tế của người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Phòng Quản lý xuất nhập cảnh, Công an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chứng nhận tạm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tổ chức đề nghị cấp, bổ sung, sửa đổi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tại Phòng Quản lý xuất nhập cảnh, Công an tỉnh, thành phố trực thuộc Trung ương. 
+ Người nước ngoài, người Việt Nam mang hộ chiếu nước ngoài có hộ chiếu hợp lệ, có thị thực (trừ trường hợp miễn thị thực), chứng nhận tạm trú do cơ quan có thẩm quyền Việt Nam cấp, đang cư trú tại Việt Nam và không thuộc diện "chưa cho nhập cảnh Việt Nam" hoặc không thuộc diện “tạm hoãn xuất cảnh”. 
+ Công dân Việt Nam đề nghị cấp, bổ sung, sửa đổi thị thực, gia hạn tạm trú cho người nước ngoài, người Việt Nam mang hộ chiếu nước ngoài phải là người có quan hệ ông, bà, cha, mẹ, vợ, chồng, con, anh, chị, em ruột với người nước ngoài, người Việt Nam mang hộ chiếu nước ngoài (xuất trình giấy tờ chứng minh quan 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2025-11-27T16:33:07Z</dcterms:created>
  <dc:creator>Apache POI</dc:creator>
</cp:coreProperties>
</file>