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161a/QĐ-NHNN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tên và sửa đổi, bổ sung Giấy phép đối với nội dung thay đổi tên của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Chi nhánh ngân hàng nước ngoài lập 01 bộ hồ sơ theo quy định gửi Ngân hàng Nhà nước (Cục Quản lý, giám sát tổ chức tín dụng hoặc Ngân hàng Nhà nước Khu vực được phân cấp).</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có văn bản yêu cầu chi nhánh ngân hàng nước ngoài bổ sung hồ sơ.</w:t>
      </w:r>
    </w:p>
    <w:p>
      <w:pPr>
        <w:spacing w:after="0" w:before="0" w:lineRule="auto" w:line="276"/>
        <w:jc w:val="both"/>
      </w:pPr>
      <w:r>
        <w:rPr>
          <w:rFonts w:ascii="Times New Roman" w:hAnsi="Times New Roman" w:cs="Times New Roman" w:eastAsia="Times New Roman"/>
          <w:b w:val="false"/>
          <w:sz w:val="26"/>
        </w:rPr>
        <w:t>Bước 3: Trong thời hạn 40 ngày làm việc kể từ ngày nhận đủ hồ sơ hợp lệ, Ngân hàng Nhà nước  xem xét, có quyết định sửa đổi Giấy phép;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40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40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Văn bản đề nghị, trong đó tối thiểu bao gồm các nội dung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Tên hiện tại;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Tên dự kiến thay đổi đảm bảo tuân thủ quy định của pháp luật có liên quan về đặt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Tên dự kiến thay đổi đảm bảo tuân thủ quy định của pháp luật có liên quan về đặt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Văn bản của ngân hàng mẹ thông qua việc thay đổi tên chi nhánh ngân hàng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 / Ngân hàng Nhà nước Chi nhánh tỉnh/thành phố</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tên của chi nhánh ngân hàng nước ngoài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2025-11-27T16:33:15Z</dcterms:created>
  <dc:creator>Apache POI</dc:creator>
</cp:coreProperties>
</file>