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524/QĐ-BTP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Miễn nhiệm giám định viên tư pháp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Giám định tư pháp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Bị xử lý kỷ luật từ hình thức cảnh cáo trở lên hoặc bị xử phạt hành chính do cố ý vi phạm quy định của pháp luật về giám định tư pháp;</w:t>
      </w:r>
    </w:p>
    <w:p>
      <w:pPr>
        <w:spacing w:after="0" w:before="0" w:lineRule="auto" w:line="276"/>
        <w:jc w:val="both"/>
      </w:pPr>
      <w:r>
        <w:rPr>
          <w:rFonts w:ascii="Times New Roman" w:hAnsi="Times New Roman" w:cs="Times New Roman" w:eastAsia="Times New Roman"/>
          <w:b w:val="false"/>
          <w:sz w:val="26"/>
        </w:rPr>
        <w:t>Thực hiện một trong các hành vi quy định tại Điều 6 của Luật Giám định tư pháp;</w:t>
      </w:r>
    </w:p>
    <w:p>
      <w:pPr>
        <w:spacing w:after="0" w:before="0" w:lineRule="auto" w:line="276"/>
        <w:jc w:val="both"/>
      </w:pPr>
      <w:r>
        <w:rPr>
          <w:rFonts w:ascii="Times New Roman" w:hAnsi="Times New Roman" w:cs="Times New Roman" w:eastAsia="Times New Roman"/>
          <w:b w:val="false"/>
          <w:sz w:val="26"/>
        </w:rPr>
        <w:t>Theo đề nghị của giám định viên tư pháp là công chức, viên chức, sĩ quan quân đội, sĩ quan công an nhân dân, quân nhân chuyên nghiệp, công nhân quốc phòng có quyết định nghỉ việc để hưởng chế độ hưu trí hoặc thôi việc.</w:t>
      </w:r>
    </w:p>
    <w:p>
      <w:pPr>
        <w:spacing w:after="0" w:before="0" w:lineRule="auto" w:line="276"/>
        <w:jc w:val="both"/>
      </w:pPr>
      <w:r>
        <w:rPr>
          <w:rFonts w:ascii="Times New Roman" w:hAnsi="Times New Roman" w:cs="Times New Roman" w:eastAsia="Times New Roman"/>
          <w:b w:val="false"/>
          <w:sz w:val="26"/>
        </w:rPr>
        <w:t>Không còn đủ tiêu chuẩn quy định tại khoản 1 Điều 7 của Luật Giám định tư pháp;</w:t>
      </w:r>
    </w:p>
    <w:p>
      <w:pPr>
        <w:spacing w:after="0" w:before="0" w:lineRule="auto" w:line="276"/>
        <w:jc w:val="both"/>
      </w:pPr>
      <w:r>
        <w:rPr>
          <w:rFonts w:ascii="Times New Roman" w:hAnsi="Times New Roman" w:cs="Times New Roman" w:eastAsia="Times New Roman"/>
          <w:b w:val="false"/>
          <w:sz w:val="26"/>
        </w:rPr>
        <w:t>Thuộc một trong các trường hợp quy định tại khoản 2 Điều 7 của Luật Giám định tư pháp;</w:t>
      </w:r>
    </w:p>
    <w:p>
      <w:pPr>
        <w:spacing w:after="0" w:before="0" w:lineRule="auto" w:line="276"/>
        <w:jc w:val="both"/>
      </w:pPr>
      <w:r>
        <w:rPr>
          <w:rFonts w:ascii="Times New Roman" w:hAnsi="Times New Roman" w:cs="Times New Roman" w:eastAsia="Times New Roman"/>
          <w:b w:val="false"/>
          <w:sz w:val="26"/>
        </w:rPr>
        <w:t>Trong thời hạn 10 ngày, kể từ ngày nhận được hồ sơ hợp lệ, Bộ trưởng, Thủ trưởng cơ quan ngang bộ, xem xét, quyết định miễn nhiệm giám định viên tư pháp và điều chỉnh danh sách giám định viên tư pháp trên cổng thông tin điện tử của bộ, cơ quan ngang bộ, đồng thời gửi Bộ Tư pháp để điều chỉnh danh sách chung về giám định viên tư pháp.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kể từ ngày nhận được hồ sơ hợp lệ, Bộ trưởng, Thủ trưởng cơ quan ngang bộ, xem xét, quyết định miễn nhiệm giám định viên tư pháp và điều chỉnh danh sách giám định viên tư pháp trên cổng thông tin điện tử của bộ, cơ quan ngang bộ, đồng thời gửi Bộ Tư pháp để điều chỉnh danh sách chung về giám định viên tư pháp.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giấy tờ chứng minh giám định viên tư pháp thuộc một trong các trường hợp quy định tại khoản 1 Điều 10, Luật giám định tư pháp:  + Không còn đủ tiêu chuẩn quy định tại khoản 1 Điều 7 của Luật giám định tư pháp;  + Thuộc một trong các trường hợp quy định tại khoản 2 Điều 7 của Luật giám định tư pháp;  + Bị xử lý kỷ luật từ hình thức cảnh cáo trở lên hoặc bị xử phạt hành chính do cố ý vi phạm quy định của pháp luật về giám định tư pháp;  + Thực hiện một trong các hành vi quy định tại Điều 6 của Luật giám định tư pháp;  + Theo đề nghị của giám định viên tư pháp là công chức, viên chức có quyết định nghỉ việc để hưởng chế độ hưu trí hoặc thôi việc.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miễn nhiệm giám định viên tư pháp của cơ quan, tổ chức đã đề nghị bổ nhiệm người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trưởng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miễn nhiệm giám định viên tư pháp (Bộ Tư pháp)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13/2012/QH13</w:t>
            </w:r>
          </w:p>
        </w:tc>
        <w:tc>
          <w:p/>
          <w:p>
            <w:pPr>
              <w:spacing w:after="0" w:before="0" w:lineRule="auto" w:line="276"/>
              <w:jc w:val="left"/>
            </w:pPr>
            <w:r>
              <w:rPr>
                <w:rFonts w:ascii="Times New Roman" w:hAnsi="Times New Roman" w:cs="Times New Roman" w:eastAsia="Times New Roman"/>
                <w:b w:val="false"/>
                <w:sz w:val="26"/>
              </w:rPr>
              <w:t>Luật 13/2012/QH13</w:t>
            </w:r>
          </w:p>
        </w:tc>
        <w:tc>
          <w:p/>
          <w:p>
            <w:pPr>
              <w:spacing w:after="0" w:before="0" w:lineRule="auto" w:line="276"/>
              <w:jc w:val="left"/>
            </w:pPr>
            <w:r>
              <w:rPr>
                <w:rFonts w:ascii="Times New Roman" w:hAnsi="Times New Roman" w:cs="Times New Roman" w:eastAsia="Times New Roman"/>
                <w:b w:val="false"/>
                <w:sz w:val="26"/>
              </w:rPr>
              <w:t>20-06-2012</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2025-11-27T16:33:30Z</dcterms:created>
  <dc:creator>Apache POI</dc:creator>
</cp:coreProperties>
</file>