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1.001171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2729/QĐ-BCT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xuất khẩu xăng dầu</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gửi Đơn đăng ký xuất khẩu xăng dầu đến Bộ Công Thương theo Mẫu số 4 tại Phụ lục ban hành kèm theo Thông tư số 38/2014/TT-BCT.
- Trong thời hạn bảy (07) ngày làm việc kể từ ngày nhận được Đơn đăng ký của thương nhân, Bộ Công Thương có văn bản chấp thuận việc xuất khẩu hoặc có văn bản thông báo lý do không đồng ý.</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(Không có)</w:t>
            </w:r>
          </w:p>
          <w:p>
            <w:pPr>
              <w:spacing w:after="0" w:before="0" w:lineRule="auto" w:line="276"/>
              <w:jc w:val="left"/>
            </w:pPr>
            <w:r>
              <w:rPr>
                <w:rFonts w:ascii="Times New Roman" w:hAnsi="Times New Roman" w:cs="Times New Roman" w:eastAsia="Times New Roman"/>
                <w:b w:val="false"/>
                <w:sz w:val="26"/>
              </w:rPr>
              <w:t>Lệ phí :  Đồng</w:t>
              <w:t xml:space="preserve"> (Không có)</w:t>
            </w:r>
          </w:p>
        </w:tc>
        <w:tc>
          <w:p/>
          <w:p>
            <w:pPr>
              <w:spacing w:after="0" w:before="0" w:lineRule="auto" w:line="276"/>
              <w:jc w:val="left"/>
            </w:pPr>
            <w:r>
              <w:rPr>
                <w:rFonts w:ascii="Times New Roman" w:hAnsi="Times New Roman" w:cs="Times New Roman" w:eastAsia="Times New Roman"/>
                <w:b w:val="false"/>
                <w:sz w:val="26"/>
              </w:rPr>
              <w:t>Bảy (7) ngày làm việc kể từ khi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(Không có)</w:t>
            </w:r>
          </w:p>
          <w:p>
            <w:pPr>
              <w:spacing w:after="0" w:before="0" w:lineRule="auto" w:line="276"/>
              <w:jc w:val="left"/>
            </w:pPr>
            <w:r>
              <w:rPr>
                <w:rFonts w:ascii="Times New Roman" w:hAnsi="Times New Roman" w:cs="Times New Roman" w:eastAsia="Times New Roman"/>
                <w:b w:val="false"/>
                <w:sz w:val="26"/>
              </w:rPr>
              <w:t>Lệ phí :  Đồng</w:t>
              <w:t xml:space="preserve"> (Không có)</w:t>
            </w:r>
          </w:p>
        </w:tc>
        <w:tc>
          <w:p/>
          <w:p>
            <w:pPr>
              <w:spacing w:after="0" w:before="0" w:lineRule="auto" w:line="276"/>
              <w:jc w:val="left"/>
            </w:pPr>
            <w:r>
              <w:rPr>
                <w:rFonts w:ascii="Times New Roman" w:hAnsi="Times New Roman" w:cs="Times New Roman" w:eastAsia="Times New Roman"/>
                <w:b w:val="false"/>
                <w:sz w:val="26"/>
              </w:rPr>
              <w:t>Bảy (7) ngày làm việc kể từ khi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(Không có)</w:t>
            </w:r>
          </w:p>
          <w:p>
            <w:pPr>
              <w:spacing w:after="0" w:before="0" w:lineRule="auto" w:line="276"/>
              <w:jc w:val="left"/>
            </w:pPr>
            <w:r>
              <w:rPr>
                <w:rFonts w:ascii="Times New Roman" w:hAnsi="Times New Roman" w:cs="Times New Roman" w:eastAsia="Times New Roman"/>
                <w:b w:val="false"/>
                <w:sz w:val="26"/>
              </w:rPr>
              <w:t>Lệ phí :  Đồng</w:t>
              <w:t xml:space="preserve"> (Không có)</w:t>
            </w:r>
          </w:p>
        </w:tc>
        <w:tc>
          <w:p/>
          <w:p>
            <w:pPr>
              <w:spacing w:after="0" w:before="0" w:lineRule="auto" w:line="276"/>
              <w:jc w:val="left"/>
            </w:pPr>
            <w:r>
              <w:rPr>
                <w:rFonts w:ascii="Times New Roman" w:hAnsi="Times New Roman" w:cs="Times New Roman" w:eastAsia="Times New Roman"/>
                <w:b w:val="false"/>
                <w:sz w:val="26"/>
              </w:rPr>
              <w:t>Bảy (7) ngày làm việc kể từ khi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đăng ký xuất khẩu xăng dầu theo Mẫu số 4 tại Phụ lục ban hành kèm theo Thông tư số 38/2014/TT-BCT.</w:t>
            </w:r>
          </w:p>
        </w:tc>
        <w:tc>
          <w:p/>
          <w:p>
            <w:pPr>
              <w:spacing w:after="0" w:before="0" w:lineRule="auto" w:line="276"/>
              <w:jc w:val="left"/>
            </w:pPr>
            <w:r>
              <w:rPr>
                <w:rFonts w:ascii="Times New Roman" w:hAnsi="Times New Roman" w:cs="Times New Roman" w:eastAsia="Times New Roman"/>
                <w:b w:val="false"/>
                <w:sz w:val="26"/>
              </w:rPr>
              <w:t>Mẫu số 4.doc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Vụ Thị trường trong nước</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việc xuất khẩu xăng dầu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83/2014/NĐ-CP</w:t>
            </w:r>
          </w:p>
        </w:tc>
        <w:tc>
          <w:p/>
          <w:p>
            <w:pPr>
              <w:spacing w:after="0" w:before="0" w:lineRule="auto" w:line="276"/>
              <w:jc w:val="left"/>
            </w:pPr>
            <w:r>
              <w:rPr>
                <w:rFonts w:ascii="Times New Roman" w:hAnsi="Times New Roman" w:cs="Times New Roman" w:eastAsia="Times New Roman"/>
                <w:b w:val="false"/>
                <w:sz w:val="26"/>
              </w:rPr>
              <w:t>Nghị định 83/2014/NĐ-CP</w:t>
            </w:r>
          </w:p>
        </w:tc>
        <w:tc>
          <w:p/>
          <w:p>
            <w:pPr>
              <w:spacing w:after="0" w:before="0" w:lineRule="auto" w:line="276"/>
              <w:jc w:val="left"/>
            </w:pPr>
            <w:r>
              <w:rPr>
                <w:rFonts w:ascii="Times New Roman" w:hAnsi="Times New Roman" w:cs="Times New Roman" w:eastAsia="Times New Roman"/>
                <w:b w:val="false"/>
                <w:sz w:val="26"/>
              </w:rPr>
              <w:t>03-09-2014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38/2014/TT-BCT</w:t>
            </w:r>
          </w:p>
        </w:tc>
        <w:tc>
          <w:p/>
          <w:p>
            <w:pPr>
              <w:spacing w:after="0" w:before="0" w:lineRule="auto" w:line="276"/>
              <w:jc w:val="left"/>
            </w:pPr>
            <w:r>
              <w:rPr>
                <w:rFonts w:ascii="Times New Roman" w:hAnsi="Times New Roman" w:cs="Times New Roman" w:eastAsia="Times New Roman"/>
                <w:b w:val="false"/>
                <w:sz w:val="26"/>
              </w:rPr>
              <w:t>Thông tư 38/2014/TT-BCT</w:t>
            </w:r>
          </w:p>
        </w:tc>
        <w:tc>
          <w:p/>
          <w:p>
            <w:pPr>
              <w:spacing w:after="0" w:before="0" w:lineRule="auto" w:line="276"/>
              <w:jc w:val="left"/>
            </w:pPr>
            <w:r>
              <w:rPr>
                <w:rFonts w:ascii="Times New Roman" w:hAnsi="Times New Roman" w:cs="Times New Roman" w:eastAsia="Times New Roman"/>
                <w:b w:val="false"/>
                <w:sz w:val="26"/>
              </w:rPr>
              <w:t>24-10-2014</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95/2021/NĐ-CP</w:t>
            </w:r>
          </w:p>
        </w:tc>
        <w:tc>
          <w:p/>
          <w:p>
            <w:pPr>
              <w:spacing w:after="0" w:before="0" w:lineRule="auto" w:line="276"/>
              <w:jc w:val="left"/>
            </w:pPr>
            <w:r>
              <w:rPr>
                <w:rFonts w:ascii="Times New Roman" w:hAnsi="Times New Roman" w:cs="Times New Roman" w:eastAsia="Times New Roman"/>
                <w:b w:val="false"/>
                <w:sz w:val="26"/>
              </w:rPr>
              <w:t>Nghị định 95/2021/NĐ-CP sửa đổi, bổ sung một số điều của Nghị định số 83/2014/NĐ-CP ngày 03 tháng 9 năm 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01-11-2021</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17/2021/TT-BCT</w:t>
            </w:r>
          </w:p>
        </w:tc>
        <w:tc>
          <w:p/>
          <w:p>
            <w:pPr>
              <w:spacing w:after="0" w:before="0" w:lineRule="auto" w:line="276"/>
              <w:jc w:val="left"/>
            </w:pPr>
            <w:r>
              <w:rPr>
                <w:rFonts w:ascii="Times New Roman" w:hAnsi="Times New Roman" w:cs="Times New Roman" w:eastAsia="Times New Roman"/>
                <w:b w:val="false"/>
                <w:sz w:val="26"/>
              </w:rPr>
              <w:t>Sửa đổi, bổ sung một số điều của Thông tư số 38/2014/TT-BCT ngày 24 tháng 10 năm 2014 của Bộ trưởng Bộ Công Thương quy định chi tiết một số điều của Nghị định số 83/2014/NĐ-CP ngày 03 tháng 9 năm 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15-11-2021</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https://thutuc.dichvucong.gov.vn/p/home/dvc-tthc-thu-tuc-hanh-chinh-chi-tiet.html?ma_thu_tuc=1744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2025-11-27T16:33:30Z</dcterms:created>
  <dc:creator>Apache POI</dc:creator>
</cp:coreProperties>
</file>