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3174/QĐ-BNG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phát hình quốc tế cho phóng viên nước ngoài tại Việt Nam qua mạng lưới viễn thông công cộng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Nộp hồ sơ</w:t>
      </w:r>
    </w:p>
    <w:p>
      <w:pPr>
        <w:spacing w:after="0" w:before="0" w:lineRule="auto" w:line="276"/>
        <w:jc w:val="both"/>
      </w:pPr>
      <w:r>
        <w:rPr>
          <w:rFonts w:ascii="Times New Roman" w:hAnsi="Times New Roman" w:cs="Times New Roman" w:eastAsia="Times New Roman"/>
          <w:b w:val="false"/>
          <w:sz w:val="26"/>
        </w:rPr>
        <w:t>Phóng viên nước ngoài tại Việt Nam có yêu cầu phát hình quốc tế qua mạng lưới viễn thông công cộng, gửi hồ sơ tới Bộ Ngoại giao.</w:t>
      </w:r>
    </w:p>
    <w:p>
      <w:pPr>
        <w:shd w:val="clear" w:color="auto" w:fill="F2F6F9"/>
        <w:spacing w:after="0" w:before="120" w:lineRule="auto" w:line="276"/>
        <w:jc w:val="both"/>
      </w:pPr>
      <w:r>
        <w:rPr>
          <w:rFonts w:ascii="Times New Roman" w:hAnsi="Times New Roman" w:cs="Times New Roman" w:eastAsia="Times New Roman"/>
          <w:b w:val="true"/>
          <w:sz w:val="26"/>
        </w:rPr>
        <w:t>Thẩm định hồ sơ</w:t>
      </w:r>
    </w:p>
    <w:p>
      <w:pPr>
        <w:spacing w:after="0" w:before="0" w:lineRule="auto" w:line="276"/>
        <w:jc w:val="both"/>
      </w:pPr>
      <w:r>
        <w:rPr>
          <w:rFonts w:ascii="Times New Roman" w:hAnsi="Times New Roman" w:cs="Times New Roman" w:eastAsia="Times New Roman"/>
          <w:b w:val="false"/>
          <w:sz w:val="26"/>
        </w:rPr>
        <w:t>Bộ Ngoại giao thẩm định hồ sơ và cấp Giấy phép phát hình quốc tế cho phóng viên. Trường hợp từ chối, Bộ Ngoại giao có thông báo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kể từ khi nhận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kể từ khi nhận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cấp giấy phép phát hình đi quốc tế</w:t>
            </w:r>
          </w:p>
        </w:tc>
        <w:tc>
          <w:p/>
          <w:p>
            <w:pPr>
              <w:spacing w:after="0" w:before="0" w:lineRule="auto" w:line="276"/>
              <w:jc w:val="left"/>
            </w:pPr>
            <w:r>
              <w:rPr>
                <w:rFonts w:ascii="Times New Roman" w:hAnsi="Times New Roman" w:cs="Times New Roman" w:eastAsia="Times New Roman"/>
                <w:b w:val="false"/>
                <w:sz w:val="26"/>
              </w:rPr>
              <w:t>Uplink form.pdf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Ngoại giao, Vụ Thông tin Báo chí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Vụ Thông tin Báo chí (Bộ Ngoại giao)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phát hình quốc tế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103/2016/QH13	</w:t>
            </w:r>
          </w:p>
        </w:tc>
        <w:tc>
          <w:p/>
          <w:p>
            <w:pPr>
              <w:spacing w:after="0" w:before="0" w:lineRule="auto" w:line="276"/>
              <w:jc w:val="left"/>
            </w:pPr>
            <w:r>
              <w:rPr>
                <w:rFonts w:ascii="Times New Roman" w:hAnsi="Times New Roman" w:cs="Times New Roman" w:eastAsia="Times New Roman"/>
                <w:b w:val="false"/>
                <w:sz w:val="26"/>
              </w:rPr>
              <w:t>Luật 103/2016/QH13	</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88/2012/NĐ-CP</w:t>
            </w:r>
          </w:p>
        </w:tc>
        <w:tc>
          <w:p/>
          <w:p>
            <w:pPr>
              <w:spacing w:after="0" w:before="0" w:lineRule="auto" w:line="276"/>
              <w:jc w:val="left"/>
            </w:pPr>
            <w:r>
              <w:rPr>
                <w:rFonts w:ascii="Times New Roman" w:hAnsi="Times New Roman" w:cs="Times New Roman" w:eastAsia="Times New Roman"/>
                <w:b w:val="false"/>
                <w:sz w:val="26"/>
              </w:rPr>
              <w:t>Nghị định 88/2012/NĐ-CP</w:t>
            </w:r>
          </w:p>
        </w:tc>
        <w:tc>
          <w:p/>
          <w:p>
            <w:pPr>
              <w:spacing w:after="0" w:before="0" w:lineRule="auto" w:line="276"/>
              <w:jc w:val="left"/>
            </w:pPr>
            <w:r>
              <w:rPr>
                <w:rFonts w:ascii="Times New Roman" w:hAnsi="Times New Roman" w:cs="Times New Roman" w:eastAsia="Times New Roman"/>
                <w:b w:val="false"/>
                <w:sz w:val="26"/>
              </w:rPr>
              <w:t>23-10-2012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01/2001/TTLT/BNG-TCBĐ</w:t>
            </w:r>
          </w:p>
        </w:tc>
        <w:tc>
          <w:p/>
          <w:p>
            <w:pPr>
              <w:spacing w:after="0" w:before="0" w:lineRule="auto" w:line="276"/>
              <w:jc w:val="left"/>
            </w:pPr>
            <w:r>
              <w:rPr>
                <w:rFonts w:ascii="Times New Roman" w:hAnsi="Times New Roman" w:cs="Times New Roman" w:eastAsia="Times New Roman"/>
                <w:b w:val="false"/>
                <w:sz w:val="26"/>
              </w:rPr>
              <w:t>Thông tư liên tịch 01/2001/TTLT/BNG-TCBĐ - Hướng dẫn việc phát hình đi quốc tế của phóng viên nước ngoài tại Việt Nam qua mạng lưới viễn thông công cộng</w:t>
            </w:r>
          </w:p>
        </w:tc>
        <w:tc>
          <w:p/>
          <w:p>
            <w:pPr>
              <w:spacing w:after="0" w:before="0" w:lineRule="auto" w:line="276"/>
              <w:jc w:val="left"/>
            </w:pPr>
            <w:r>
              <w:rPr>
                <w:rFonts w:ascii="Times New Roman" w:hAnsi="Times New Roman" w:cs="Times New Roman" w:eastAsia="Times New Roman"/>
                <w:b w:val="false"/>
                <w:sz w:val="26"/>
              </w:rPr>
              <w:t>26-09-2001</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Phóng viên nước ngoài thực hiện thủ tục phát hình đi quốc tế qua mạng lưới viễn thông công cộng phải là phóng viên nước ngoài đang hoạt động hợp pháp tại Việt Nam theo Giấy phép hoạt động báo chí hoặc có Thẻ phóng viên báo chí nước ngoài do Bộ Ngoại giao cấp còn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2025-11-27T16:33:42Z</dcterms:created>
  <dc:creator>Apache POI</dc:creator>
</cp:coreProperties>
</file>