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1201/QĐ-BYT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nội dung quảng cáo hóa chất, chế phẩm diệt côn trùng, diệt khuẩn dùng trong lĩnh vực gia dụng và y tế trong trường hợp bị mất hoặc hư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Cấp lại giấy xác nhận nội dung quảng cáo do Cục Quản lý Môi trường đã cấp trong trường hợp bị mất hoặc hư hỏng</w:t>
      </w:r>
    </w:p>
    <w:p>
      <w:pPr>
        <w:spacing w:after="0" w:before="0" w:lineRule="auto" w:line="276"/>
        <w:jc w:val="both"/>
      </w:pPr>
      <w:r>
        <w:rPr>
          <w:rFonts w:ascii="Times New Roman" w:hAnsi="Times New Roman" w:cs="Times New Roman" w:eastAsia="Times New Roman"/>
          <w:b w:val="false"/>
          <w:sz w:val="26"/>
        </w:rPr>
        <w:t>Bước 1. Đơn vị đề nghị cấp lại giấy xác nhận nội dung quảng cáo nộp hồ sơ đến Bộ Y tế (Cục Quản lý Môi trường y tế). 
Bước 2. Trong thời hạn 05 ngày làm việc kể từ ngày nhận được văn bản đề nghị theo dấu tiếp nhận công văn đến của Cục Quản lý Môi trường y tế, Cục Quản lý Môi trường y tế xem xét cấp lại cho Đơn vị. Trường hợp từ chối cấp lại, Cục Quản lý Môi trường y tế phải có văn bản thông báo nêu rõ lý do.</w:t>
      </w:r>
    </w:p>
    <w:p>
      <w:pPr>
        <w:shd w:val="clear" w:color="auto" w:fill="F2F6F9"/>
        <w:spacing w:after="0" w:before="120" w:lineRule="auto" w:line="276"/>
        <w:jc w:val="both"/>
      </w:pPr>
      <w:r>
        <w:rPr>
          <w:rFonts w:ascii="Times New Roman" w:hAnsi="Times New Roman" w:cs="Times New Roman" w:eastAsia="Times New Roman"/>
          <w:b w:val="true"/>
          <w:sz w:val="26"/>
        </w:rPr>
        <w:t>Cấp lại giấy xác nhận nội dung quảng cáo hóa chất, chế phẩm diệt côn trùng, diệt khuẩn dùng trong lĩnh vực gia dụng và y tế trong trường hợp bị mất hoặc hư hỏng thuộc thẩm quyền của Sở Y tế</w:t>
      </w:r>
    </w:p>
    <w:p>
      <w:pPr>
        <w:spacing w:after="0" w:before="0" w:lineRule="auto" w:line="276"/>
        <w:jc w:val="both"/>
      </w:pPr>
      <w:r>
        <w:rPr>
          <w:rFonts w:ascii="Times New Roman" w:hAnsi="Times New Roman" w:cs="Times New Roman" w:eastAsia="Times New Roman"/>
          <w:b w:val="false"/>
          <w:sz w:val="26"/>
        </w:rPr>
        <w:t>Bước 1. Đơn vị đề nghị cấp lại giấy xác nhận nội dung quảng cáo nộp hồ sơ đến Sở Y tế nơi đơn vị đặt trụ sở chính. 
Bước 2. Trong thời hạn 05 ngày làm việc kể từ ngày nhận được văn bản đề nghị theo dấu tiếp nhận công văn đến của Sở Y tế, Sở Y tế xem xét cấp lại cho Đơn vị. Trường hợp từ chối cấp lại, Sở Y tế phải có văn bản thông báo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hợp lệ theo dấu tiếp nhận công văn đến của cơ quan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xác nội dung quảng cáo theo quy định tại Phụ lục 04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bệnh - Bộ Y tế, 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 - 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20/2024/TT-BYT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14-10-2024</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2025-11-27T16:33:43Z</dcterms:created>
  <dc:creator>Apache POI</dc:creator>
</cp:coreProperties>
</file>