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thị thực cho người nước ngoài tại Việt Nam (thực hiện tại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Nộp hồ sơ:
* Cơ quan, tổ chức, cá nhân, công dân Việt Nam và người nước ngoài cư trú hợp pháp tại Việt Nam, nộp hồ sơ trực tiếp vào giờ hành chính các ngày làm việc trong tuần tại Cơ quan Quản lý xuất nhập cảnh Công an cấp tỉnh hoặc nộp hồ sơ qua Cổng dịch vụ công quốc gia hoặc Cổng dịch vụ công Bộ Công an và gửi bổ sung hồ sơ qua dịch vụ bưu chính công ích theo thông báo của Cơ quan Quản lý xuất nhập cảnh trên Cổng dịch vụ công quốc gia hoặc Cổng dịch vụ công Bộ Công an (nếu có).
* Cán bộ tiếp nhận hồ sơ kiểm tra tính pháp lý và nội dung hồ sơ: 
+ Trường hợp hồ sơ đã đầy đủ, hợp lệ thì cấp giấy hẹn trả kết quả cho người đề nghị cấp thị thực; yêu cầu nộp phí cho cán bộ thu phí, cán bộ thu phí thu tiền, giao biên lai thu tiền cho người đề nghị cấp thị thực hoặc thông báo trên Cổng dịch vụ công quốc gia hoặc Cổng dịch vụ công Bộ Công an để người đề nghị cấp thị thực thanh toán trực tuyến và nhận biên lai điện tử.
+ Trường hợp hồ sơ thiếu hoặc không hợp lệ thì cán bộ tiếp nhận hồ sơ hướng dẫn hoặc thông báo trên Cổng dịch vụ công quốc gia hoặc Cổng dịch vụ công Bộ Công an để người đề nghị cấp thị thực hoàn chỉnh hồ sơ.
+ Trường hợp hồ sơ không đủ điều kiện thì không tiếp nhận hồ sơ, trả lời bằng văn bản hoặc thông báo trên Cổng dịch vụ công quốc gia hoặc Cổng dịch vụ công Bộ Công an và nêu rõ lý do.
* Trường hợp hồ sơ được nộp qua Cổng dịch vụ công quốc gia hoặc Cổng dịch vụ công Bộ Công an mà thuộc thẩm quyền giải quyết của Cục Quản lý xuất nhập cảnh thì chuyển thông tin đến Cục Quản lý xuất nhập cảnh và thông báo cho người nộp hồ sơ biết.
* Trường hợp nộp hồ sơ trực tuyến, người đề nghị cấp thị thực có thể đề nghị nhận kết quả qua dịch vụ bưu chính và phải trả phí dịch vụ chuyển phát.
* Thời gian tiếp nhận hồ sơ: Từ thứ 2 đến sáng thứ 7 hàng tuần (trừ ngày Tết, ngày lễ).</w:t>
      </w:r>
    </w:p>
    <w:p>
      <w:pPr>
        <w:spacing w:after="0" w:before="0" w:lineRule="auto" w:line="276"/>
        <w:jc w:val="both"/>
      </w:pPr>
      <w:r>
        <w:rPr>
          <w:rFonts w:ascii="Times New Roman" w:hAnsi="Times New Roman" w:cs="Times New Roman" w:eastAsia="Times New Roman"/>
          <w:b w:val="false"/>
          <w:sz w:val="26"/>
        </w:rPr>
        <w:t>Bước 3: Nhận kết quả:
+ Người đề nghị cấp thị thực trực tiếp nhận kết quả tại Cơ quan Quản lý xuất nhập cảnh Công an cấp tỉnh; khi đến nhận kết quả mang theo giấy hẹn trả kết quả, biên lai thu tiền để đối chiếu. Trường hợp đề nghị nhận kết quả qua dịch vụ bưu chính thực hiện theo hướng dẫn của cơ quan cung cấp dịch vụ bưu chính.
+ Trường hợp chưa cấp thị thực thì trả lời bằng văn bản hoặc thông báo trên Cổng dịch vụ công quốc gia hoặc Cổng dịch vụ công Bộ Công an và nêu rõ lý do.
+ Thời gian trả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5 USD</w:t>
              <w:t xml:space="preserve"> (Chuyển ngang giá trị thị thực, thẻ tạm trú, thời hạn tạm trú còn giá trị từ hộ chiếu cũ sang hộ chiếu mới)</w:t>
            </w:r>
          </w:p>
          <w:p>
            <w:pPr>
              <w:spacing w:after="0" w:before="0" w:lineRule="auto" w:line="276"/>
              <w:jc w:val="left"/>
            </w:pPr>
            <w:r>
              <w:rPr>
                <w:rFonts w:ascii="Times New Roman" w:hAnsi="Times New Roman" w:cs="Times New Roman" w:eastAsia="Times New Roman"/>
                <w:b w:val="false"/>
                <w:sz w:val="26"/>
              </w:rPr>
              <w:t>Phí : 5 USD</w:t>
              <w:t xml:space="preserve"> (Chuyển ngang giá trị thị thực, thời hạn tạm trú còn giá trị từ thị thực rời cũ (đã hết chỗ đóng dấu: kiểm chứng nhập cảnh, kiểm chứng xuất cảnh, chứng nhận tạm trú, gia hạn tạm trú) sang thị thực rời mới)</w:t>
            </w:r>
          </w:p>
          <w:p>
            <w:pPr>
              <w:spacing w:after="0" w:before="0" w:lineRule="auto" w:line="276"/>
              <w:jc w:val="left"/>
            </w:pPr>
            <w:r>
              <w:rPr>
                <w:rFonts w:ascii="Times New Roman" w:hAnsi="Times New Roman" w:cs="Times New Roman" w:eastAsia="Times New Roman"/>
                <w:b w:val="false"/>
                <w:sz w:val="26"/>
              </w:rPr>
              <w:t>Phí : 25 USD</w:t>
              <w:t xml:space="preserve"> (Cấp thị thực có giá trị một lần)</w:t>
            </w:r>
          </w:p>
          <w:p>
            <w:pPr>
              <w:spacing w:after="0" w:before="0" w:lineRule="auto" w:line="276"/>
              <w:jc w:val="left"/>
            </w:pPr>
            <w:r>
              <w:rPr>
                <w:rFonts w:ascii="Times New Roman" w:hAnsi="Times New Roman" w:cs="Times New Roman" w:eastAsia="Times New Roman"/>
                <w:b w:val="false"/>
                <w:sz w:val="26"/>
              </w:rPr>
              <w:t>Phí : 90 USD</w:t>
              <w:t xml:space="preserve"> (Cấp thị thực có giá trị nhiều lần: Loại có giá trị không quá 90 ngày)</w:t>
            </w:r>
          </w:p>
          <w:p>
            <w:pPr>
              <w:spacing w:after="0" w:before="0" w:lineRule="auto" w:line="276"/>
              <w:jc w:val="left"/>
            </w:pPr>
            <w:r>
              <w:rPr>
                <w:rFonts w:ascii="Times New Roman" w:hAnsi="Times New Roman" w:cs="Times New Roman" w:eastAsia="Times New Roman"/>
                <w:b w:val="false"/>
                <w:sz w:val="26"/>
              </w:rPr>
              <w:t>Phí : 95 USD</w:t>
              <w:t xml:space="preserve"> (Cấp thị thực có giá trị nhiều lần: Loại có giá trị trên 90 ngày đến 180 ngày)</w:t>
            </w:r>
          </w:p>
          <w:p>
            <w:pPr>
              <w:spacing w:after="0" w:before="0" w:lineRule="auto" w:line="276"/>
              <w:jc w:val="left"/>
            </w:pPr>
            <w:r>
              <w:rPr>
                <w:rFonts w:ascii="Times New Roman" w:hAnsi="Times New Roman" w:cs="Times New Roman" w:eastAsia="Times New Roman"/>
                <w:b w:val="false"/>
                <w:sz w:val="26"/>
              </w:rPr>
              <w:t>Phí : 135 USD</w:t>
              <w:t xml:space="preserve"> (Cấp thị thực có giá trị nhiều lần: Loại có giá trị trên 180 ngày đến 01 năm)</w:t>
            </w:r>
          </w:p>
          <w:p>
            <w:pPr>
              <w:spacing w:after="0" w:before="0" w:lineRule="auto" w:line="276"/>
              <w:jc w:val="left"/>
            </w:pPr>
            <w:r>
              <w:rPr>
                <w:rFonts w:ascii="Times New Roman" w:hAnsi="Times New Roman" w:cs="Times New Roman" w:eastAsia="Times New Roman"/>
                <w:b w:val="false"/>
                <w:sz w:val="26"/>
              </w:rPr>
              <w:t>Phí : 145 USD</w:t>
              <w:t xml:space="preserve"> (Cấp thị thực có giá trị nhiều lần: Loại có giá trị trên 12 tháng đến 02 năm)</w:t>
            </w:r>
          </w:p>
          <w:p>
            <w:pPr>
              <w:spacing w:after="0" w:before="0" w:lineRule="auto" w:line="276"/>
              <w:jc w:val="left"/>
            </w:pPr>
            <w:r>
              <w:rPr>
                <w:rFonts w:ascii="Times New Roman" w:hAnsi="Times New Roman" w:cs="Times New Roman" w:eastAsia="Times New Roman"/>
                <w:b w:val="false"/>
                <w:sz w:val="26"/>
              </w:rPr>
              <w:t>Phí : 155 USD</w:t>
              <w:t xml:space="preserve"> (Cấp thị thực có giá trị nhiều lần: Loại có giá trị trên 02 năm đến 05 năm)</w:t>
            </w:r>
          </w:p>
          <w:p>
            <w:pPr>
              <w:spacing w:after="0" w:before="0" w:lineRule="auto" w:line="276"/>
              <w:jc w:val="left"/>
            </w:pPr>
            <w:r>
              <w:rPr>
                <w:rFonts w:ascii="Times New Roman" w:hAnsi="Times New Roman" w:cs="Times New Roman" w:eastAsia="Times New Roman"/>
                <w:b w:val="false"/>
                <w:sz w:val="26"/>
              </w:rPr>
              <w:t>Phí : 25 USD</w:t>
              <w:t xml:space="preserve"> (Thị thực cấp cho người dưới 14 tuổi (không phân biệt thời hạn))</w:t>
            </w:r>
          </w:p>
        </w:tc>
        <w:tc>
          <w:p/>
          <w:p>
            <w:pPr>
              <w:spacing w:after="0" w:before="0" w:lineRule="auto" w:line="276"/>
              <w:jc w:val="left"/>
            </w:pPr>
            <w:r>
              <w:rPr>
                <w:rFonts w:ascii="Times New Roman" w:hAnsi="Times New Roman" w:cs="Times New Roman" w:eastAsia="Times New Roman"/>
                <w:b w:val="false"/>
                <w:sz w:val="26"/>
              </w:rPr>
              <w:t>nộp hồ sơ trực tiếp tại trụ sở Cơ quan Quản lý xuất nhập cảnh Công an cấp tỉnh.
không quá 05 ngày làm việc kể từ khi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25 USD</w:t>
              <w:t xml:space="preserve"> (Cấp thị thực có giá trị một lần)</w:t>
            </w:r>
          </w:p>
          <w:p>
            <w:pPr>
              <w:spacing w:after="0" w:before="0" w:lineRule="auto" w:line="276"/>
              <w:jc w:val="left"/>
            </w:pPr>
            <w:r>
              <w:rPr>
                <w:rFonts w:ascii="Times New Roman" w:hAnsi="Times New Roman" w:cs="Times New Roman" w:eastAsia="Times New Roman"/>
                <w:b w:val="false"/>
                <w:sz w:val="26"/>
              </w:rPr>
              <w:t>Phí : 90 USD</w:t>
              <w:t xml:space="preserve"> (Cấp thị thực có giá trị nhiều lần: Loại có giá trị không quá 90 ngày)</w:t>
            </w:r>
          </w:p>
          <w:p>
            <w:pPr>
              <w:spacing w:after="0" w:before="0" w:lineRule="auto" w:line="276"/>
              <w:jc w:val="left"/>
            </w:pPr>
            <w:r>
              <w:rPr>
                <w:rFonts w:ascii="Times New Roman" w:hAnsi="Times New Roman" w:cs="Times New Roman" w:eastAsia="Times New Roman"/>
                <w:b w:val="false"/>
                <w:sz w:val="26"/>
              </w:rPr>
              <w:t>Phí : 95 USD</w:t>
              <w:t xml:space="preserve"> (Cấp thị thực có giá trị nhiều lần: Loại có giá trị trên 90 ngày đến 180 ngày)</w:t>
            </w:r>
          </w:p>
          <w:p>
            <w:pPr>
              <w:spacing w:after="0" w:before="0" w:lineRule="auto" w:line="276"/>
              <w:jc w:val="left"/>
            </w:pPr>
            <w:r>
              <w:rPr>
                <w:rFonts w:ascii="Times New Roman" w:hAnsi="Times New Roman" w:cs="Times New Roman" w:eastAsia="Times New Roman"/>
                <w:b w:val="false"/>
                <w:sz w:val="26"/>
              </w:rPr>
              <w:t>Phí : 135 USD</w:t>
              <w:t xml:space="preserve"> (Cấp thị thực có giá trị nhiều lần: Loại có giá trị trên 180 ngày đến 01 năm)</w:t>
            </w:r>
          </w:p>
          <w:p>
            <w:pPr>
              <w:spacing w:after="0" w:before="0" w:lineRule="auto" w:line="276"/>
              <w:jc w:val="left"/>
            </w:pPr>
            <w:r>
              <w:rPr>
                <w:rFonts w:ascii="Times New Roman" w:hAnsi="Times New Roman" w:cs="Times New Roman" w:eastAsia="Times New Roman"/>
                <w:b w:val="false"/>
                <w:sz w:val="26"/>
              </w:rPr>
              <w:t>Phí : 145 USD</w:t>
              <w:t xml:space="preserve"> (Cấp thị thực có giá trị nhiều lần: Loại có giá trị trên 12 tháng đến 02 năm)</w:t>
            </w:r>
          </w:p>
          <w:p>
            <w:pPr>
              <w:spacing w:after="0" w:before="0" w:lineRule="auto" w:line="276"/>
              <w:jc w:val="left"/>
            </w:pPr>
            <w:r>
              <w:rPr>
                <w:rFonts w:ascii="Times New Roman" w:hAnsi="Times New Roman" w:cs="Times New Roman" w:eastAsia="Times New Roman"/>
                <w:b w:val="false"/>
                <w:sz w:val="26"/>
              </w:rPr>
              <w:t>Phí : 25 USD</w:t>
              <w:t xml:space="preserve"> (Thị thực cấp cho người dưới 14 tuổi (không phân biệt thời hạn))</w:t>
            </w:r>
          </w:p>
          <w:p>
            <w:pPr>
              <w:spacing w:after="0" w:before="0" w:lineRule="auto" w:line="276"/>
              <w:jc w:val="left"/>
            </w:pPr>
            <w:r>
              <w:rPr>
                <w:rFonts w:ascii="Times New Roman" w:hAnsi="Times New Roman" w:cs="Times New Roman" w:eastAsia="Times New Roman"/>
                <w:b w:val="false"/>
                <w:sz w:val="26"/>
              </w:rPr>
              <w:t>Phí : 155 USD</w:t>
              <w:t xml:space="preserve"> (Cấp thị thực có giá trị nhiều lần: Loại có giá trị trên 02 năm đến 05 năm)</w:t>
            </w:r>
          </w:p>
          <w:p>
            <w:pPr>
              <w:spacing w:after="0" w:before="0" w:lineRule="auto" w:line="276"/>
              <w:jc w:val="left"/>
            </w:pPr>
            <w:r>
              <w:rPr>
                <w:rFonts w:ascii="Times New Roman" w:hAnsi="Times New Roman" w:cs="Times New Roman" w:eastAsia="Times New Roman"/>
                <w:b w:val="false"/>
                <w:sz w:val="26"/>
              </w:rPr>
              <w:t>Phí : 5 USD</w:t>
              <w:t xml:space="preserve"> (Chuyển ngang giá trị thị thực, thẻ tạm trú, thời hạn tạm trú còn giá trị từ hộ chiếu cũ sang hộ chiếu mới)</w:t>
            </w:r>
          </w:p>
          <w:p>
            <w:pPr>
              <w:spacing w:after="0" w:before="0" w:lineRule="auto" w:line="276"/>
              <w:jc w:val="left"/>
            </w:pPr>
            <w:r>
              <w:rPr>
                <w:rFonts w:ascii="Times New Roman" w:hAnsi="Times New Roman" w:cs="Times New Roman" w:eastAsia="Times New Roman"/>
                <w:b w:val="false"/>
                <w:sz w:val="26"/>
              </w:rPr>
              <w:t>Phí : 5 USD</w:t>
              <w:t xml:space="preserve"> (Chuyển ngang giá trị thị thực, thời hạn tạm trú còn giá trị từ thị thực rời cũ (đã hết chỗ đóng dấu: kiểm chứng nhập cảnh, kiểm chứng xuất cảnh, chứng nhận tạm trú, gia hạn tạm trú) sang thị thực rời mới)</w:t>
            </w:r>
          </w:p>
        </w:tc>
        <w:tc>
          <w:p/>
          <w:p>
            <w:pPr>
              <w:spacing w:after="0" w:before="0" w:lineRule="auto" w:line="276"/>
              <w:jc w:val="left"/>
            </w:pPr>
            <w:r>
              <w:rPr>
                <w:rFonts w:ascii="Times New Roman" w:hAnsi="Times New Roman" w:cs="Times New Roman" w:eastAsia="Times New Roman"/>
                <w:b w:val="false"/>
                <w:sz w:val="26"/>
              </w:rPr>
              <w:t>nộp hồ sơ trực tuyến qua Cổng dịch vụ công quốc gia hoặc Cổng dịch vụ công Bộ Công an.
không quá 05 ngày làm việc kể từ khi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25 USD</w:t>
              <w:t xml:space="preserve"> (Cấp thị thực có giá trị một lần)</w:t>
            </w:r>
          </w:p>
          <w:p>
            <w:pPr>
              <w:spacing w:after="0" w:before="0" w:lineRule="auto" w:line="276"/>
              <w:jc w:val="left"/>
            </w:pPr>
            <w:r>
              <w:rPr>
                <w:rFonts w:ascii="Times New Roman" w:hAnsi="Times New Roman" w:cs="Times New Roman" w:eastAsia="Times New Roman"/>
                <w:b w:val="false"/>
                <w:sz w:val="26"/>
              </w:rPr>
              <w:t>Phí : 90 USD</w:t>
              <w:t xml:space="preserve"> (Cấp thị thực có giá trị nhiều lần: Loại có giá trị không quá 90 ngày)</w:t>
            </w:r>
          </w:p>
          <w:p>
            <w:pPr>
              <w:spacing w:after="0" w:before="0" w:lineRule="auto" w:line="276"/>
              <w:jc w:val="left"/>
            </w:pPr>
            <w:r>
              <w:rPr>
                <w:rFonts w:ascii="Times New Roman" w:hAnsi="Times New Roman" w:cs="Times New Roman" w:eastAsia="Times New Roman"/>
                <w:b w:val="false"/>
                <w:sz w:val="26"/>
              </w:rPr>
              <w:t>Phí : 95 USD</w:t>
              <w:t xml:space="preserve"> (Cấp thị thực có giá trị nhiều lần: Loại có giá trị trên 90 ngày đến 180 ngày)</w:t>
            </w:r>
          </w:p>
          <w:p>
            <w:pPr>
              <w:spacing w:after="0" w:before="0" w:lineRule="auto" w:line="276"/>
              <w:jc w:val="left"/>
            </w:pPr>
            <w:r>
              <w:rPr>
                <w:rFonts w:ascii="Times New Roman" w:hAnsi="Times New Roman" w:cs="Times New Roman" w:eastAsia="Times New Roman"/>
                <w:b w:val="false"/>
                <w:sz w:val="26"/>
              </w:rPr>
              <w:t>Phí : 135 USD</w:t>
              <w:t xml:space="preserve"> (Cấp thị thực có giá trị nhiều lần: Loại có giá trị trên 180 ngày đến 01 năm)</w:t>
            </w:r>
          </w:p>
          <w:p>
            <w:pPr>
              <w:spacing w:after="0" w:before="0" w:lineRule="auto" w:line="276"/>
              <w:jc w:val="left"/>
            </w:pPr>
            <w:r>
              <w:rPr>
                <w:rFonts w:ascii="Times New Roman" w:hAnsi="Times New Roman" w:cs="Times New Roman" w:eastAsia="Times New Roman"/>
                <w:b w:val="false"/>
                <w:sz w:val="26"/>
              </w:rPr>
              <w:t>Phí : 145 USD</w:t>
              <w:t xml:space="preserve"> (Cấp thị thực có giá trị nhiều lần: Loại có giá trị trên 12 tháng đến 02 năm)</w:t>
            </w:r>
          </w:p>
          <w:p>
            <w:pPr>
              <w:spacing w:after="0" w:before="0" w:lineRule="auto" w:line="276"/>
              <w:jc w:val="left"/>
            </w:pPr>
            <w:r>
              <w:rPr>
                <w:rFonts w:ascii="Times New Roman" w:hAnsi="Times New Roman" w:cs="Times New Roman" w:eastAsia="Times New Roman"/>
                <w:b w:val="false"/>
                <w:sz w:val="26"/>
              </w:rPr>
              <w:t>Phí : 155 USD</w:t>
              <w:t xml:space="preserve"> (Cấp thị thực có giá trị nhiều lần: Loại có giá trị trên 02 năm đến 05 năm)</w:t>
            </w:r>
          </w:p>
          <w:p>
            <w:pPr>
              <w:spacing w:after="0" w:before="0" w:lineRule="auto" w:line="276"/>
              <w:jc w:val="left"/>
            </w:pPr>
            <w:r>
              <w:rPr>
                <w:rFonts w:ascii="Times New Roman" w:hAnsi="Times New Roman" w:cs="Times New Roman" w:eastAsia="Times New Roman"/>
                <w:b w:val="false"/>
                <w:sz w:val="26"/>
              </w:rPr>
              <w:t>Phí : 25 USD</w:t>
              <w:t xml:space="preserve"> (Thị thực cấp cho người dưới 14 tuổi (không phân biệt thời hạn))</w:t>
            </w:r>
          </w:p>
          <w:p>
            <w:pPr>
              <w:spacing w:after="0" w:before="0" w:lineRule="auto" w:line="276"/>
              <w:jc w:val="left"/>
            </w:pPr>
            <w:r>
              <w:rPr>
                <w:rFonts w:ascii="Times New Roman" w:hAnsi="Times New Roman" w:cs="Times New Roman" w:eastAsia="Times New Roman"/>
                <w:b w:val="false"/>
                <w:sz w:val="26"/>
              </w:rPr>
              <w:t>Phí : 5 USD</w:t>
              <w:t xml:space="preserve"> (Chuyển ngang giá trị thị thực, thẻ tạm trú, thời hạn tạm trú còn giá trị từ hộ chiếu cũ sang hộ chiếu mới)</w:t>
            </w:r>
          </w:p>
          <w:p>
            <w:pPr>
              <w:spacing w:after="0" w:before="0" w:lineRule="auto" w:line="276"/>
              <w:jc w:val="left"/>
            </w:pPr>
            <w:r>
              <w:rPr>
                <w:rFonts w:ascii="Times New Roman" w:hAnsi="Times New Roman" w:cs="Times New Roman" w:eastAsia="Times New Roman"/>
                <w:b w:val="false"/>
                <w:sz w:val="26"/>
              </w:rPr>
              <w:t>Phí : 5 USD</w:t>
              <w:t xml:space="preserve"> (Chuyển ngang giá trị thị thực, thời hạn tạm trú còn giá trị từ thị thực rời cũ (đã hết chỗ đóng dấu: kiểm chứng nhập cảnh, kiểm chứng xuất cảnh, chứng nhận tạm trú, gia hạn tạm trú) sang thị thực rời mới)</w:t>
            </w:r>
          </w:p>
        </w:tc>
        <w:tc>
          <w:p/>
          <w:p>
            <w:pPr>
              <w:spacing w:after="0" w:before="0" w:lineRule="auto" w:line="276"/>
              <w:jc w:val="left"/>
            </w:pPr>
            <w:r>
              <w:rPr>
                <w:rFonts w:ascii="Times New Roman" w:hAnsi="Times New Roman" w:cs="Times New Roman" w:eastAsia="Times New Roman"/>
                <w:b w:val="false"/>
                <w:sz w:val="26"/>
              </w:rPr>
              <w:t>nộp bổ sung hồ sơ qua dịch vụ bưu chính công ích theo thông báo của Cơ quan Quản lý xuất nhập cảnh Công an cấp tỉnh trên Cổng dịch vụ công quốc gia hoặc Cổng dịch vụ công Bộ Công an (nếu có).
không quá 05 ngày làm việc kể từ khi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đề nghị cấp thị thực, gia hạn tạm trú (mẫu NA5) ban hành kèm theo Thông tư số 22/2023/TT-BCA ngày 30/6/2023 của Bộ Công an.</w:t>
            </w:r>
          </w:p>
        </w:tc>
        <w:tc>
          <w:p/>
          <w:p>
            <w:pPr>
              <w:spacing w:after="0" w:before="0" w:lineRule="auto" w:line="276"/>
              <w:jc w:val="left"/>
            </w:pPr>
            <w:r>
              <w:rPr>
                <w:rFonts w:ascii="Times New Roman" w:hAnsi="Times New Roman" w:cs="Times New Roman" w:eastAsia="Times New Roman"/>
                <w:b w:val="false"/>
                <w:sz w:val="26"/>
              </w:rPr>
              <w:t>NA5.doc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ảnh mới chụp, cỡ 4 x 6cm, mặt nhìn thẳng, không đội mũ, không đeo kính, trang phục lịch sự, phông ảnh nền trắng nếu thuộc trường hợp cấp thị thực rời.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Hộ chiếu hoặc giấy tờ có giá trị đi lại quốc tế của người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nộp hồ sơ trực tuyến thì hộ chiếu hoặc giấy tờ có giá trị đi lại quốc tế của người nước ngoài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Phòng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Quản lý xuất nhập cảnh, Bộ Công 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Thị thực loại dán hoặc rời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47/2014/QH13</w:t>
            </w:r>
          </w:p>
        </w:tc>
        <w:tc>
          <w:p/>
          <w:p>
            <w:pPr>
              <w:spacing w:after="0" w:before="0" w:lineRule="auto" w:line="276"/>
              <w:jc w:val="left"/>
            </w:pPr>
            <w:r>
              <w:rPr>
                <w:rFonts w:ascii="Times New Roman" w:hAnsi="Times New Roman" w:cs="Times New Roman" w:eastAsia="Times New Roman"/>
                <w:b w:val="false"/>
                <w:sz w:val="26"/>
              </w:rPr>
              <w:t>Luật 47/2014/QH13</w:t>
            </w:r>
          </w:p>
        </w:tc>
        <w:tc>
          <w:p/>
          <w:p>
            <w:pPr>
              <w:spacing w:after="0" w:before="0" w:lineRule="auto" w:line="276"/>
              <w:jc w:val="left"/>
            </w:pPr>
            <w:r>
              <w:rPr>
                <w:rFonts w:ascii="Times New Roman" w:hAnsi="Times New Roman" w:cs="Times New Roman" w:eastAsia="Times New Roman"/>
                <w:b w:val="false"/>
                <w:sz w:val="26"/>
              </w:rPr>
              <w:t>16-06-2014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r>
        <w:tc>
          <w:p/>
          <w:p>
            <w:pPr>
              <w:spacing w:after="0" w:before="0" w:lineRule="auto" w:line="276"/>
              <w:jc w:val="left"/>
            </w:pPr>
            <w:r>
              <w:rPr>
                <w:rFonts w:ascii="Times New Roman" w:hAnsi="Times New Roman" w:cs="Times New Roman" w:eastAsia="Times New Roman"/>
                <w:b w:val="false"/>
                <w:sz w:val="26"/>
              </w:rPr>
              <w:t>51/2019/QH14</w:t>
            </w:r>
          </w:p>
        </w:tc>
        <w:tc>
          <w:p/>
          <w:p>
            <w:pPr>
              <w:spacing w:after="0" w:before="0" w:lineRule="auto" w:line="276"/>
              <w:jc w:val="left"/>
            </w:pPr>
            <w:r>
              <w:rPr>
                <w:rFonts w:ascii="Times New Roman" w:hAnsi="Times New Roman" w:cs="Times New Roman" w:eastAsia="Times New Roman"/>
                <w:b w:val="false"/>
                <w:sz w:val="26"/>
              </w:rPr>
              <w:t>Luật 51/2019/QH14</w:t>
            </w:r>
          </w:p>
        </w:tc>
        <w:tc>
          <w:p/>
          <w:p>
            <w:pPr>
              <w:spacing w:after="0" w:before="0" w:lineRule="auto" w:line="276"/>
              <w:jc w:val="left"/>
            </w:pPr>
            <w:r>
              <w:rPr>
                <w:rFonts w:ascii="Times New Roman" w:hAnsi="Times New Roman" w:cs="Times New Roman" w:eastAsia="Times New Roman"/>
                <w:b w:val="false"/>
                <w:sz w:val="26"/>
              </w:rPr>
              <w:t>25-11-2019</w:t>
            </w:r>
          </w:p>
        </w:tc>
        <w:tc>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r>
        <w:tc>
          <w:p/>
          <w:p>
            <w:pPr>
              <w:spacing w:after="0" w:before="0" w:lineRule="auto" w:line="276"/>
              <w:jc w:val="left"/>
            </w:pPr>
            <w:r>
              <w:rPr>
                <w:rFonts w:ascii="Times New Roman" w:hAnsi="Times New Roman" w:cs="Times New Roman" w:eastAsia="Times New Roman"/>
                <w:b w:val="false"/>
                <w:sz w:val="26"/>
              </w:rPr>
              <w:t>22/2023/TT-BCA</w:t>
            </w:r>
          </w:p>
        </w:tc>
        <w:tc>
          <w:p/>
          <w:p>
            <w:pPr>
              <w:spacing w:after="0" w:before="0" w:lineRule="auto" w:line="276"/>
              <w:jc w:val="left"/>
            </w:pPr>
            <w:r>
              <w:rPr>
                <w:rFonts w:ascii="Times New Roman" w:hAnsi="Times New Roman" w:cs="Times New Roman" w:eastAsia="Times New Roman"/>
                <w:b w:val="false"/>
                <w:sz w:val="26"/>
              </w:rPr>
              <w:t>Thông tư số 22/2023/TT-BCA</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Cơ quan, tổ chức đề nghị cấp, bổ sung, sửa đổi thị thực, gia hạn tạm trú cho người nước ngoài, người Việt Nam mang hộ chiếu nước ngoài đã có hồ sơ theo quy định tại khoản 2 Điều 16 Luật Nhập cảnh, xuất cảnh, quá cảnh, cư trú của người nước ngoài tại Việt Nam tại Cục Quản lý xuất nhập cảnh - Bộ Công an theo quy định của Luật số 47/2014/QH13 ngày 16/6/2014.
+ Người nước ngoài, người Việt Nam mang hộ chiếu nước ngoài có hộ chiếu hợp lệ, có thị thực (trừ trường hợp miễn thị thực), chứng nhận tạm trú do cơ quan có thẩm quyền Việt Nam cấp, đang cư trú tại Việt Nam và không thuộc diện "chưa được nhập cảnh Việt Nam" hoặc không thuộc diện “tạm hoãn xuất cảnh”. 
+ Công dân Việt Nam đề nghị cấp, bổ sung, sửa đổi thị thực, gia hạn tạm trú cho người nước ngoài, người Việt Nam mang hộ chiếu nước ngoài là người có quan hệ ông, bà, cha, mẹ, vợ, chồng, con, anh, chị, em ruột với người nước ngoài, người Việt Nam mang hộ chiếu nước ngoài (xuất trình giấy tờ chứng minh quan hệ) theo quy định tại khoản 1 Điều 45 Luật Nhập cảnh, xuất cảnh, quá cảnh, cư trú của người nước ngoài tại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2025-11-27T16:33:46Z</dcterms:created>
  <dc:creator>Apache POI</dc:creator>
</cp:coreProperties>
</file>