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1.001200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5283/QĐ-BCA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thông hành biên giới cho cán bộ, công chức, viên chức, công nhân sang Campuchia tại Công an cấp tỉnh biên giới tiếp giáp với Campuchia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xuất nhập cảnh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Chuẩn bị hồ sơ theo quy định của pháp luật.
Bước 2: Nộp hồ sơ 
+ Người đề nghị cấp giấy thông hành biên giới Việt Nam – Campuchia trực tiếp nộp hồ sơ tại Cơ quan Quản lý xuất nhập cảnh Công an cấp tỉnh có chung đường biên giới với Campuchia nơi cơ quan, tổ chức, doanh nghiệp người đó làm việc có trụ sở hoặc trên môi trường điện tử tại Cổng Dịch vụ công quốc gia hoặc Cổng Dịch vụ công Bộ Công an; xuất trình giấy Chứng minh nhân dân hoặc thẻ Căn cước công dân hoặc thẻ Căn cước còn giá trị sử dụng để đối chiếu.
Trường hợp doanh nghiệp được ủy quyền nộp hồ sơ đề nghị cấp giấy thông hành thì trước khi nộp hồ sơ doanh nghiệp đó phải gửi cho cơ quan cấp giấy thông hành 01 bộ hồ sơ pháp nhân (việc gửi hồ sơ chỉ thực hiện 01 lần, khi có sự thay đổi nội dung trong hồ sơ thì doanh nghiệp gửi văn bản bổ sung) gồm: 01 bản sao có chứng thực quyết định thành lập doanh nghiệp hoặc chứng nhận đăng ký doanh nghiệp, trường hợp nộp bản chụp thì xuất trình bản chính để kiểm tra, đối chiếu và văn bản giới thiệu mẫu con dấu, mẫu chữ ký của người đại diện theo pháp luật của doanh nghiệp. Người được cử đi nộp hồ sơ xuất trình giấy giới thiệu; giấy Chứng minh nhân dân hoặc thẻ Căn cước công dân hoặc thẻ Căn cước còn giá trị sử dụng của bản thân và của người ủy quyền để kiểm tra, đối chiếu.
	+ Cán bộ tiếp nhận hồ sơ kiểm tra tính pháp lý và nội dung hồ sơ:
+ Trường hợp hồ sơ đầy đủ, hợp lệ thì cấp giấy hẹn trả kết quả; thu lệ phí và giao biên lai thu tiền cho người nộp hồ sơ hoặc hệ thống Cổng dịch vụ công thông báo bằng tin nhắn (SMS) hoặc thư điện tử (email) đề người nộp hồ sơ thanh toán trực tuyến và nhận biên lai điện tử. 
+ Trường hợp hồ sơ thiếu hoặc không hợp lệ thì cán bộ tiếp nhận hồ sơ hướng dẫn hoặc hệ thống của Cổng dịch vụ công thông báo bằng tin nhắn (SMS) hoặc thư điện tử (email) để người nộp hồ sơ hoàn chỉnh hồ sơ theo quy định.
+ Trường hợp hồ sơ không đủ điều kiện thì không tiếp nhận hồ sơ, trả lời bằng văn bản hoặc thông báo trên Cổng dịch vụ công và nêu rõ lý do.
+ Người đề nghị cấp giấy thông hành có thể yêu cầu nhận kết quả tại địa điểm khác và phải trả phí dịch vụ chuyển phát.
+ Thời gian nhận hồ sơ: từ thứ 2 đến thứ sáng 7 hàng tuần (trừ ngày Tết, ngày lễ).
	Bước 3: Nhận kết quả
	+ Người nhận đưa giấy biên nhận, xuất trình giấy Chứng minh nhân dân/thẻ Căn cước công dân/thẻ Căn cước cho cán bộ trả kết quả để đối chiếu, nếu đầy đủ và đúng người thì yêu cầu ký nhận và trả giấy thông hành biên giới Việt Nam – Campuchia cho người đến nhận kết quả.
	+ Trường hợp chưa cấp giấy thông hành phải trả lời bằng văn bản và nêu rõ lý do.
	+ Thời gian nhận kết quả: từ thứ 2 đến thứ 6 hàng tuần (trừ ngày Tết, ngày lễ).</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t>Lệ phí : 40.000 Đồng</w:t>
              <w:t xml:space="preserve"> (40.000đ/giấy thông hành (áp dụng đến hết ngày 31/12/2024 theo Thông tư số 43/2024/TT-BTC của Bộ Tài chính).)</w:t>
            </w:r>
          </w:p>
          <w:p>
            <w:pPr>
              <w:spacing w:after="0" w:before="0" w:lineRule="auto" w:line="276"/>
              <w:jc w:val="left"/>
            </w:pPr>
            <w:r>
              <w:rPr>
                <w:rFonts w:ascii="Times New Roman" w:hAnsi="Times New Roman" w:cs="Times New Roman" w:eastAsia="Times New Roman"/>
                <w:b w:val="false"/>
                <w:sz w:val="26"/>
              </w:rPr>
              <w:t>Lệ phí : 50.000 Đồng</w:t>
              <w:t xml:space="preserve"> (50.000đ/giấy thông hành (Thông tư số 25/2021/TT-BTC ngày 07/4/2021 của Bộ Tài chính).)</w:t>
            </w:r>
          </w:p>
        </w:tc>
        <w:tc>
          <w:p/>
          <w:p>
            <w:pPr>
              <w:spacing w:after="0" w:before="0" w:lineRule="auto" w:line="276"/>
              <w:jc w:val="left"/>
            </w:pPr>
            <w:r>
              <w:rPr>
                <w:rFonts w:ascii="Times New Roman" w:hAnsi="Times New Roman" w:cs="Times New Roman" w:eastAsia="Times New Roman"/>
                <w:b w:val="false"/>
                <w:sz w:val="26"/>
              </w:rPr>
              <w:t>+ Trực tiếp: nộp hồ sơ trực tiếp tại Cơ quan Quản lý xuất nhập cảnh Công an cấp tỉnh nơi cơ quan, tổ chức, doanh nghiệp người đó làm việc.
+ Ủy quyền: người đang làm việc trong các cơ quan, tổ chức, doanh nghiệp có tư cách pháp nhân có thể ủy quyền cho cơ quan, tổ chức, doanh nghiệp đó nộp hồ sơ và nhận kết quả thay.</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t>Lệ phí : 40.000 Đồng</w:t>
              <w:t xml:space="preserve"> (40.000đ/giấy thông hành (áp dụng đến hết ngày 31/12/2024 theo Thông tư số 43/2024/TT-BTC của Bộ Tài chính).)</w:t>
            </w:r>
          </w:p>
          <w:p>
            <w:pPr>
              <w:spacing w:after="0" w:before="0" w:lineRule="auto" w:line="276"/>
              <w:jc w:val="left"/>
            </w:pPr>
            <w:r>
              <w:rPr>
                <w:rFonts w:ascii="Times New Roman" w:hAnsi="Times New Roman" w:cs="Times New Roman" w:eastAsia="Times New Roman"/>
                <w:b w:val="false"/>
                <w:sz w:val="26"/>
              </w:rPr>
              <w:t>Lệ phí : 50.000 Đồng</w:t>
              <w:t xml:space="preserve"> (50.000đ/giấy thông hành (Thông tư số 25/2021/TT-BTC ngày 07/4/2021 của Bộ Tài chính).)</w:t>
            </w:r>
          </w:p>
        </w:tc>
        <w:tc>
          <w:p/>
          <w:p>
            <w:pPr>
              <w:spacing w:after="0" w:before="0" w:lineRule="auto" w:line="276"/>
              <w:jc w:val="left"/>
            </w:pPr>
            <w:r>
              <w:rPr>
                <w:rFonts w:ascii="Times New Roman" w:hAnsi="Times New Roman" w:cs="Times New Roman" w:eastAsia="Times New Roman"/>
                <w:b w:val="false"/>
                <w:sz w:val="26"/>
              </w:rPr>
              <w:t>+ Trực tuyến: nộp hồ sơ trực tuyến qua Cổng Dịch vụ công quốc gia hoặc Cổng Dịch vụ công Bộ Công an.
+ Ủy quyền: người đang làm việc trong các cơ quan, tổ chức, doanh nghiệp có tư cách pháp nhân có thể ủy quyền cho cơ quan, tổ chức, doanh nghiệp đó nộp hồ sơ và nhận kết quả thay.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đề nghị cấp giấy thông hành (mẫu M01a) ban hành kèm theo Nghị định số 67/2024/NĐ-CP ngày 25/6/2024 của Chính phủ.</w:t>
            </w:r>
          </w:p>
        </w:tc>
        <w:tc>
          <w:p/>
          <w:p>
            <w:pPr>
              <w:spacing w:after="0" w:before="0" w:lineRule="auto" w:line="276"/>
              <w:jc w:val="left"/>
            </w:pPr>
            <w:r>
              <w:rPr>
                <w:rFonts w:ascii="Times New Roman" w:hAnsi="Times New Roman" w:cs="Times New Roman" w:eastAsia="Times New Roman"/>
                <w:b w:val="false"/>
                <w:sz w:val="26"/>
              </w:rPr>
              <w:t>Mẫu M01a-ND67-2024.docx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02 ảnh 4x6cm mới chụp, mặt nhìn thẳng, đầu để trần, không đeo kính màu, phông nền trắng; trong đó 01 ảnh dán vào Tờ khai</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thông hành đã được cấp nếu còn giá trị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giới thiệu của cơ quan, tổ chức, doanh nghiệp đối với trường hơp ủy quyền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 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Công an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Công an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quan Quản lý xuất nhập cảnh Công an tỉnh có chung đường biên giới với Campuchia.</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thông hành biên giới Việt Nam - Campuchia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76/2020/NĐ-CP</w:t>
            </w:r>
          </w:p>
        </w:tc>
        <w:tc>
          <w:p/>
          <w:p>
            <w:pPr>
              <w:spacing w:after="0" w:before="0" w:lineRule="auto" w:line="276"/>
              <w:jc w:val="left"/>
            </w:pPr>
            <w:r>
              <w:rPr>
                <w:rFonts w:ascii="Times New Roman" w:hAnsi="Times New Roman" w:cs="Times New Roman" w:eastAsia="Times New Roman"/>
                <w:b w:val="false"/>
                <w:sz w:val="26"/>
              </w:rPr>
              <w:t>Nghị định 76/2020/NĐ-CP</w:t>
            </w:r>
          </w:p>
        </w:tc>
        <w:tc>
          <w:p/>
          <w:p>
            <w:pPr>
              <w:spacing w:after="0" w:before="0" w:lineRule="auto" w:line="276"/>
              <w:jc w:val="left"/>
            </w:pPr>
            <w:r>
              <w:rPr>
                <w:rFonts w:ascii="Times New Roman" w:hAnsi="Times New Roman" w:cs="Times New Roman" w:eastAsia="Times New Roman"/>
                <w:b w:val="false"/>
                <w:sz w:val="26"/>
              </w:rPr>
              <w:t>01-07-2020</w:t>
            </w:r>
          </w:p>
        </w:tc>
        <w:tc>
          <w:p/>
        </w:tc>
      </w:tr>
      <w:tr>
        <w:tc>
          <w:p/>
          <w:p>
            <w:pPr>
              <w:spacing w:after="0" w:before="0" w:lineRule="auto" w:line="276"/>
              <w:jc w:val="left"/>
            </w:pPr>
            <w:r>
              <w:rPr>
                <w:rFonts w:ascii="Times New Roman" w:hAnsi="Times New Roman" w:cs="Times New Roman" w:eastAsia="Times New Roman"/>
                <w:b w:val="false"/>
                <w:sz w:val="26"/>
              </w:rPr>
              <w:t>49/2019/QH14</w:t>
            </w:r>
          </w:p>
        </w:tc>
        <w:tc>
          <w:p/>
          <w:p>
            <w:pPr>
              <w:spacing w:after="0" w:before="0" w:lineRule="auto" w:line="276"/>
              <w:jc w:val="left"/>
            </w:pPr>
            <w:r>
              <w:rPr>
                <w:rFonts w:ascii="Times New Roman" w:hAnsi="Times New Roman" w:cs="Times New Roman" w:eastAsia="Times New Roman"/>
                <w:b w:val="false"/>
                <w:sz w:val="26"/>
              </w:rPr>
              <w:t>Luật 49/2019/QH14</w:t>
            </w:r>
          </w:p>
        </w:tc>
        <w:tc>
          <w:p/>
          <w:p>
            <w:pPr>
              <w:spacing w:after="0" w:before="0" w:lineRule="auto" w:line="276"/>
              <w:jc w:val="left"/>
            </w:pPr>
            <w:r>
              <w:rPr>
                <w:rFonts w:ascii="Times New Roman" w:hAnsi="Times New Roman" w:cs="Times New Roman" w:eastAsia="Times New Roman"/>
                <w:b w:val="false"/>
                <w:sz w:val="26"/>
              </w:rPr>
              <w:t>22-11-2019</w:t>
            </w:r>
          </w:p>
        </w:tc>
        <w:tc>
          <w:p/>
        </w:tc>
      </w:tr>
      <w:tr>
        <w:tc>
          <w:p/>
          <w:p>
            <w:pPr>
              <w:spacing w:after="0" w:before="0" w:lineRule="auto" w:line="276"/>
              <w:jc w:val="left"/>
            </w:pPr>
            <w:r>
              <w:rPr>
                <w:rFonts w:ascii="Times New Roman" w:hAnsi="Times New Roman" w:cs="Times New Roman" w:eastAsia="Times New Roman"/>
                <w:b w:val="false"/>
                <w:sz w:val="26"/>
              </w:rPr>
              <w:t>25/2021/TT-BTC</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LỆ PHÍ TRONG LĨNH VỰC XUẤT CẢNH, NHẬP CẢNH, QUÁ CẢNH, CƯ TRÚ TẠI VIỆT NAM</w:t>
            </w:r>
          </w:p>
        </w:tc>
        <w:tc>
          <w:p/>
          <w:p>
            <w:pPr>
              <w:spacing w:after="0" w:before="0" w:lineRule="auto" w:line="276"/>
              <w:jc w:val="left"/>
            </w:pPr>
            <w:r>
              <w:rPr>
                <w:rFonts w:ascii="Times New Roman" w:hAnsi="Times New Roman" w:cs="Times New Roman" w:eastAsia="Times New Roman"/>
                <w:b w:val="false"/>
                <w:sz w:val="26"/>
              </w:rPr>
              <w:t>07-04-2021</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23/2023/QH15</w:t>
            </w:r>
          </w:p>
        </w:tc>
        <w:tc>
          <w:p/>
          <w:p>
            <w:pPr>
              <w:spacing w:after="0" w:before="0" w:lineRule="auto" w:line="276"/>
              <w:jc w:val="left"/>
            </w:pPr>
            <w:r>
              <w:rPr>
                <w:rFonts w:ascii="Times New Roman" w:hAnsi="Times New Roman" w:cs="Times New Roman" w:eastAsia="Times New Roman"/>
                <w:b w:val="false"/>
                <w:sz w:val="26"/>
              </w:rPr>
              <w:t>Luật Xuất cảnh, nhập cảnh của công dân Việt Nam và Luật Nhập cảnh, xuất cảnh, quá cảnh, cư trú của người nước ngoài tại Việt Nam sửa đổi 2023</w:t>
            </w:r>
          </w:p>
        </w:tc>
        <w:tc>
          <w:p/>
          <w:p>
            <w:pPr>
              <w:spacing w:after="0" w:before="0" w:lineRule="auto" w:line="276"/>
              <w:jc w:val="left"/>
            </w:pPr>
            <w:r>
              <w:rPr>
                <w:rFonts w:ascii="Times New Roman" w:hAnsi="Times New Roman" w:cs="Times New Roman" w:eastAsia="Times New Roman"/>
                <w:b w:val="false"/>
                <w:sz w:val="26"/>
              </w:rPr>
              <w:t>24-06-2023</w:t>
            </w:r>
          </w:p>
        </w:tc>
        <w:tc>
          <w:p/>
        </w:tc>
      </w:tr>
      <w:tr>
        <w:tc>
          <w:p/>
          <w:p>
            <w:pPr>
              <w:spacing w:after="0" w:before="0" w:lineRule="auto" w:line="276"/>
              <w:jc w:val="left"/>
            </w:pPr>
            <w:r>
              <w:rPr>
                <w:rFonts w:ascii="Times New Roman" w:hAnsi="Times New Roman" w:cs="Times New Roman" w:eastAsia="Times New Roman"/>
                <w:b w:val="false"/>
                <w:sz w:val="26"/>
              </w:rPr>
              <w:t>43/2024/TT-BTC</w:t>
            </w:r>
          </w:p>
        </w:tc>
        <w:tc>
          <w:p/>
          <w:p>
            <w:pPr>
              <w:spacing w:after="0" w:before="0" w:lineRule="auto" w:line="276"/>
              <w:jc w:val="left"/>
            </w:pPr>
            <w:r>
              <w:rPr>
                <w:rFonts w:ascii="Times New Roman" w:hAnsi="Times New Roman" w:cs="Times New Roman" w:eastAsia="Times New Roman"/>
                <w:b w:val="false"/>
                <w:sz w:val="26"/>
              </w:rPr>
              <w:t>43/2024/TT-BTC</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67/2024/NĐ-CP</w:t>
            </w:r>
          </w:p>
        </w:tc>
        <w:tc>
          <w:p/>
          <w:p>
            <w:pPr>
              <w:spacing w:after="0" w:before="0" w:lineRule="auto" w:line="276"/>
              <w:jc w:val="left"/>
            </w:pPr>
            <w:r>
              <w:rPr>
                <w:rFonts w:ascii="Times New Roman" w:hAnsi="Times New Roman" w:cs="Times New Roman" w:eastAsia="Times New Roman"/>
                <w:b w:val="false"/>
                <w:sz w:val="26"/>
              </w:rPr>
              <w:t>Nghị định số 67/2024/NĐ-CP ngày 25/6/2024 của Chính phủ sửa đổi, bổ sung một số điều của Nghị định số 76/2020/NĐ-CP ngày 01/7/2020 của Chính phủ quy định chi tiết đối tượng, trình tự, thủ tục, thẩm quyền cấp, thu hồi, hủy giá trị sử dụng giấy thông hành và Nghị định số 77/2020/NĐ-CP ngày 01/7/2020 của Chính phủ quy định việc quản lý, khai thác thông tin trong Cơ sở dữ liệu quốc gia về xuất nhập cảnh; dịch vụ công trực tuyến phục vụ cấp, quản lý, kiểm soát hộ chiếu của công dân Việt Nam; kiểm soát xuất nhập cảnh bằng cổng kiểm soát tự động.</w:t>
            </w:r>
          </w:p>
        </w:tc>
        <w:tc>
          <w:p/>
          <w:p>
            <w:pPr>
              <w:spacing w:after="0" w:before="0" w:lineRule="auto" w:line="276"/>
              <w:jc w:val="left"/>
            </w:pPr>
            <w:r>
              <w:rPr>
                <w:rFonts w:ascii="Times New Roman" w:hAnsi="Times New Roman" w:cs="Times New Roman" w:eastAsia="Times New Roman"/>
                <w:b w:val="false"/>
                <w:sz w:val="26"/>
              </w:rPr>
              <w:t>25-06-2024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thuộc các trường hợp chưa được cấp giấy tờ xuất nhập cảnh theo quy định tại Điều 21 Luật Xuất cảnh, nhập cảnh của công dân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Cấp giấy thông hành biên giới cho cán bộ, công chức, viên chức, công nhân sang Campuchia tại Công an cấp tỉnh biên giới tiếp giáp với Campuchia</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https://thutuc.dichvucong.gov.vn/p/home/dvc-tthc-thu-tuc-hanh-chinh-chi-tiet.html?ma_thu_tuc=1784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2025-11-27T16:33:57Z</dcterms:created>
  <dc:creator>Apache POI</dc:creator>
</cp:coreProperties>
</file>