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1.001207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1453/QĐ-NHNN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thay đổi khoản phát hành trái phiếu quốc tế của doanh nghiệp không được Chính phủ bảo lãnh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Trong thời hạn 30 ngày kể từ ngày ký thỏa thuận thay đổi hoặc trước thời điểm thực hiện nội dung thay đổi (đối với trường hợp nội dung thay đổi không cần ký thỏa thuận thay đổi song vẫn đảm bảo phù hợp với các hợp đồng, thỏa thuận liên quan đến khoản phát hành), tổ chức phát hành gửi 01 bộ hồ sơ đăng ký thay đổi khoản phát hành đến Ngân hàng Nhà nước.</w:t>
      </w:r>
    </w:p>
    <w:p>
      <w:pPr>
        <w:spacing w:after="0" w:before="0" w:lineRule="auto" w:line="276"/>
        <w:jc w:val="both"/>
      </w:pPr>
      <w:r>
        <w:rPr>
          <w:rFonts w:ascii="Times New Roman" w:hAnsi="Times New Roman" w:cs="Times New Roman" w:eastAsia="Times New Roman"/>
          <w:b w:val="false"/>
          <w:sz w:val="26"/>
        </w:rPr>
        <w:t>+ Trong thời hạn 10 ngày làm việc kể từ ngày nhận được hồ sơ của tổ chức phát hành, trường hợp cần thêm thông tin để có đủ cơ sở xác nhận hoặc từ chối xác nhận đăng ký thay đổi khoản phát hành, Ngân hàng Nhà nước có văn bản yêu cầu tổ chức phát hành bổ sung tài liệu, thông tin cần thiết.</w:t>
      </w:r>
    </w:p>
    <w:p>
      <w:pPr>
        <w:spacing w:after="0" w:before="0" w:lineRule="auto" w:line="276"/>
        <w:jc w:val="both"/>
      </w:pPr>
      <w:r>
        <w:rPr>
          <w:rFonts w:ascii="Times New Roman" w:hAnsi="Times New Roman" w:cs="Times New Roman" w:eastAsia="Times New Roman"/>
          <w:b w:val="false"/>
          <w:sz w:val="26"/>
        </w:rPr>
        <w:t>+ Ngân hàng Nhà nước có văn bản xác nhận hoặc từ chối xác nhận đăng ký thay đổi khoản phát hành trái phiếu quốc tế trong thời hạn 15 ngày làm việc kể từ ngày nhận được hồ sơ đầy đủ, hợp lệ của tổ chức phát hành. Trường hợp từ chối, Ngân hàng Nhà nước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được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thay đổi khoản phát hành trái phiếu quốc tế theo Phụ lục 03 Thông tư số 10/2022/TT-NHNN.</w:t>
            </w:r>
          </w:p>
        </w:tc>
        <w:tc>
          <w:p/>
          <w:p>
            <w:pPr>
              <w:spacing w:after="0" w:before="0" w:lineRule="auto" w:line="276"/>
              <w:jc w:val="left"/>
            </w:pPr>
            <w:r>
              <w:rPr>
                <w:rFonts w:ascii="Times New Roman" w:hAnsi="Times New Roman" w:cs="Times New Roman" w:eastAsia="Times New Roman"/>
                <w:b w:val="false"/>
                <w:sz w:val="26"/>
              </w:rPr>
              <w:t>Phlc03.docx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tiếng nước ngoài và bản dịch tiếng Việt các thỏa thuận thay đổi đã ký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văn bản đồng ý của cấp có thẩm quyền phê duyệt phương án phát hành trái phiếu quốc tế của tổ chức phát hành đối với nội dung thay đổi khoản phát hành trái phiếu quốc tế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các tài liệu trong hồ sơ điện tử là bản điện tử quét từ bản gốc, bản chính (tập tin định dạng PDF), trừ Đơn đăng ký khoản phát hành trái phiếu quốc tế và Đơn đăng ký thay đổi khoản phát hành trái phiếu quốc tế được khai trên Cổng dịch vụ công Ngân hàng Nhà nước. Đối với các tài liệu trong hồ sơ giấy phải là bản gốc, bản chính hoặc bản sao có xác nhận của tổ chức phát hành về việc sao từ bản chính. Bản dịch tiếng Việt của các tài liệu tiếng nước ngoài là bản dịch do tổ chức phát hành tự dịch hoặc thông qua một tổ chức cung cấp dịch vụ dịch thuật.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xác nhận đăng ký thay đổi khoản phát hành trái phiếu quốc tế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28/2005/PL-UBTVQH11</w:t>
            </w:r>
          </w:p>
        </w:tc>
        <w:tc>
          <w:p/>
          <w:p>
            <w:pPr>
              <w:spacing w:after="0" w:before="0" w:lineRule="auto" w:line="276"/>
              <w:jc w:val="left"/>
            </w:pPr>
            <w:r>
              <w:rPr>
                <w:rFonts w:ascii="Times New Roman" w:hAnsi="Times New Roman" w:cs="Times New Roman" w:eastAsia="Times New Roman"/>
                <w:b w:val="false"/>
                <w:sz w:val="26"/>
              </w:rPr>
              <w:t>Pháp lệnh 28/2005/PL-UBTVQH11</w:t>
            </w:r>
          </w:p>
        </w:tc>
        <w:tc>
          <w:p/>
          <w:p>
            <w:pPr>
              <w:spacing w:after="0" w:before="0" w:lineRule="auto" w:line="276"/>
              <w:jc w:val="left"/>
            </w:pPr>
            <w:r>
              <w:rPr>
                <w:rFonts w:ascii="Times New Roman" w:hAnsi="Times New Roman" w:cs="Times New Roman" w:eastAsia="Times New Roman"/>
                <w:b w:val="false"/>
                <w:sz w:val="26"/>
              </w:rPr>
              <w:t>14-12-2005</w:t>
            </w:r>
          </w:p>
        </w:tc>
        <w:tc>
          <w:p/>
        </w:tc>
      </w:tr>
      <w:tr>
        <w:tc>
          <w:p/>
          <w:p>
            <w:pPr>
              <w:spacing w:after="0" w:before="0" w:lineRule="auto" w:line="276"/>
              <w:jc w:val="left"/>
            </w:pPr>
            <w:r>
              <w:rPr>
                <w:rFonts w:ascii="Times New Roman" w:hAnsi="Times New Roman" w:cs="Times New Roman" w:eastAsia="Times New Roman"/>
                <w:b w:val="false"/>
                <w:sz w:val="26"/>
              </w:rPr>
              <w:t>06/2013/UBTVQH13</w:t>
            </w:r>
          </w:p>
        </w:tc>
        <w:tc>
          <w:p/>
          <w:p>
            <w:pPr>
              <w:spacing w:after="0" w:before="0" w:lineRule="auto" w:line="276"/>
              <w:jc w:val="left"/>
            </w:pPr>
            <w:r>
              <w:rPr>
                <w:rFonts w:ascii="Times New Roman" w:hAnsi="Times New Roman" w:cs="Times New Roman" w:eastAsia="Times New Roman"/>
                <w:b w:val="false"/>
                <w:sz w:val="26"/>
              </w:rPr>
              <w:t>Pháp lệnh 06/2013/UBTVQH13</w:t>
            </w:r>
          </w:p>
        </w:tc>
        <w:tc>
          <w:p/>
          <w:p>
            <w:pPr>
              <w:spacing w:after="0" w:before="0" w:lineRule="auto" w:line="276"/>
              <w:jc w:val="left"/>
            </w:pPr>
            <w:r>
              <w:rPr>
                <w:rFonts w:ascii="Times New Roman" w:hAnsi="Times New Roman" w:cs="Times New Roman" w:eastAsia="Times New Roman"/>
                <w:b w:val="false"/>
                <w:sz w:val="26"/>
              </w:rPr>
              <w:t>19-03-2013</w:t>
            </w:r>
          </w:p>
        </w:tc>
        <w:tc>
          <w:p/>
        </w:tc>
      </w:tr>
      <w:tr>
        <w:tc>
          <w:p/>
          <w:p>
            <w:pPr>
              <w:spacing w:after="0" w:before="0" w:lineRule="auto" w:line="276"/>
              <w:jc w:val="left"/>
            </w:pPr>
            <w:r>
              <w:rPr>
                <w:rFonts w:ascii="Times New Roman" w:hAnsi="Times New Roman" w:cs="Times New Roman" w:eastAsia="Times New Roman"/>
                <w:b w:val="false"/>
                <w:sz w:val="26"/>
              </w:rPr>
              <w:t>219/2013/NĐ-CP</w:t>
            </w:r>
          </w:p>
        </w:tc>
        <w:tc>
          <w:p/>
          <w:p>
            <w:pPr>
              <w:spacing w:after="0" w:before="0" w:lineRule="auto" w:line="276"/>
              <w:jc w:val="left"/>
            </w:pPr>
            <w:r>
              <w:rPr>
                <w:rFonts w:ascii="Times New Roman" w:hAnsi="Times New Roman" w:cs="Times New Roman" w:eastAsia="Times New Roman"/>
                <w:b w:val="false"/>
                <w:sz w:val="26"/>
              </w:rPr>
              <w:t>Nghị định 219/2013/NĐ-CP</w:t>
            </w:r>
          </w:p>
        </w:tc>
        <w:tc>
          <w:p/>
          <w:p>
            <w:pPr>
              <w:spacing w:after="0" w:before="0" w:lineRule="auto" w:line="276"/>
              <w:jc w:val="left"/>
            </w:pPr>
            <w:r>
              <w:rPr>
                <w:rFonts w:ascii="Times New Roman" w:hAnsi="Times New Roman" w:cs="Times New Roman" w:eastAsia="Times New Roman"/>
                <w:b w:val="false"/>
                <w:sz w:val="26"/>
              </w:rPr>
              <w:t>27-12-2013</w:t>
            </w:r>
          </w:p>
        </w:tc>
        <w:tc>
          <w:p/>
        </w:tc>
      </w:tr>
      <w:tr>
        <w:tc>
          <w:p/>
          <w:p>
            <w:pPr>
              <w:spacing w:after="0" w:before="0" w:lineRule="auto" w:line="276"/>
              <w:jc w:val="left"/>
            </w:pPr>
            <w:r>
              <w:rPr>
                <w:rFonts w:ascii="Times New Roman" w:hAnsi="Times New Roman" w:cs="Times New Roman" w:eastAsia="Times New Roman"/>
                <w:b w:val="false"/>
                <w:sz w:val="26"/>
              </w:rPr>
              <w:t>153/2020/NĐ-CP</w:t>
            </w:r>
          </w:p>
        </w:tc>
        <w:tc>
          <w:p/>
          <w:p>
            <w:pPr>
              <w:spacing w:after="0" w:before="0" w:lineRule="auto" w:line="276"/>
              <w:jc w:val="left"/>
            </w:pPr>
            <w:r>
              <w:rPr>
                <w:rFonts w:ascii="Times New Roman" w:hAnsi="Times New Roman" w:cs="Times New Roman" w:eastAsia="Times New Roman"/>
                <w:b w:val="false"/>
                <w:sz w:val="26"/>
              </w:rPr>
              <w:t>Nghị định 153/2020/NĐ-CP</w:t>
            </w:r>
          </w:p>
        </w:tc>
        <w:tc>
          <w:p/>
          <w:p>
            <w:pPr>
              <w:spacing w:after="0" w:before="0" w:lineRule="auto" w:line="276"/>
              <w:jc w:val="left"/>
            </w:pPr>
            <w:r>
              <w:rPr>
                <w:rFonts w:ascii="Times New Roman" w:hAnsi="Times New Roman" w:cs="Times New Roman" w:eastAsia="Times New Roman"/>
                <w:b w:val="false"/>
                <w:sz w:val="26"/>
              </w:rPr>
              <w:t>31-12-2020</w:t>
            </w:r>
          </w:p>
        </w:tc>
        <w:tc>
          <w:p/>
        </w:tc>
      </w:tr>
      <w:tr>
        <w:tc>
          <w:p/>
          <w:p>
            <w:pPr>
              <w:spacing w:after="0" w:before="0" w:lineRule="auto" w:line="276"/>
              <w:jc w:val="left"/>
            </w:pPr>
            <w:r>
              <w:rPr>
                <w:rFonts w:ascii="Times New Roman" w:hAnsi="Times New Roman" w:cs="Times New Roman" w:eastAsia="Times New Roman"/>
                <w:b w:val="false"/>
                <w:sz w:val="26"/>
              </w:rPr>
              <w:t>10/2022/TT-NHNN</w:t>
            </w:r>
          </w:p>
        </w:tc>
        <w:tc>
          <w:p/>
          <w:p>
            <w:pPr>
              <w:spacing w:after="0" w:before="0" w:lineRule="auto" w:line="276"/>
              <w:jc w:val="left"/>
            </w:pPr>
            <w:r>
              <w:rPr>
                <w:rFonts w:ascii="Times New Roman" w:hAnsi="Times New Roman" w:cs="Times New Roman" w:eastAsia="Times New Roman"/>
                <w:b w:val="false"/>
                <w:sz w:val="26"/>
              </w:rPr>
              <w:t>Thông tư 10/2022/TT-NHNN</w:t>
            </w:r>
          </w:p>
        </w:tc>
        <w:tc>
          <w:p/>
          <w:p>
            <w:pPr>
              <w:spacing w:after="0" w:before="0" w:lineRule="auto" w:line="276"/>
              <w:jc w:val="left"/>
            </w:pPr>
            <w:r>
              <w:rPr>
                <w:rFonts w:ascii="Times New Roman" w:hAnsi="Times New Roman" w:cs="Times New Roman" w:eastAsia="Times New Roman"/>
                <w:b w:val="false"/>
                <w:sz w:val="26"/>
              </w:rPr>
              <w:t>29-07-2022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https://thutuc.dichvucong.gov.vn/p/home/dvc-tthc-thu-tuc-hanh-chinh-chi-tiet.html?ma_thu_tuc=1794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2025-11-27T16:33:57Z</dcterms:created>
  <dc:creator>Apache POI</dc:creator>
</cp:coreProperties>
</file>