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Mô tô nước trên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17/2018/TT-BVHTTDL</w:t>
            </w:r>
          </w:p>
        </w:tc>
        <w:tc>
          <w:p/>
          <w:p>
            <w:pPr>
              <w:spacing w:after="0" w:before="0" w:lineRule="auto" w:line="276"/>
              <w:jc w:val="left"/>
            </w:pPr>
            <w:r>
              <w:rPr>
                <w:rFonts w:ascii="Times New Roman" w:hAnsi="Times New Roman" w:cs="Times New Roman" w:eastAsia="Times New Roman"/>
                <w:b w:val="false"/>
                <w:sz w:val="26"/>
              </w:rPr>
              <w:t>Thông tư Thông tư 17/2018/TT-BVHTTDL</w:t>
            </w:r>
          </w:p>
        </w:tc>
        <w:tc>
          <w:p/>
          <w:p>
            <w:pPr>
              <w:spacing w:after="0" w:before="0" w:lineRule="auto" w:line="276"/>
              <w:jc w:val="left"/>
            </w:pPr>
            <w:r>
              <w:rPr>
                <w:rFonts w:ascii="Times New Roman" w:hAnsi="Times New Roman" w:cs="Times New Roman" w:eastAsia="Times New Roman"/>
                <w:b w:val="false"/>
                <w:sz w:val="26"/>
              </w:rPr>
              <w:t>16-03-2018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04/2019/TT-BVHTTDL</w:t>
            </w:r>
          </w:p>
        </w:tc>
        <w:tc>
          <w:p/>
          <w:p>
            <w:pPr>
              <w:spacing w:after="0" w:before="0" w:lineRule="auto" w:line="276"/>
              <w:jc w:val="left"/>
            </w:pPr>
            <w:r>
              <w:rPr>
                <w:rFonts w:ascii="Times New Roman" w:hAnsi="Times New Roman" w:cs="Times New Roman" w:eastAsia="Times New Roman"/>
                <w:b w:val="false"/>
                <w:sz w:val="26"/>
              </w:rPr>
              <w:t>Thông tư 04/2019/TT-BVHTTDL ngày 17/7/2019</w:t>
            </w:r>
          </w:p>
        </w:tc>
        <w:tc>
          <w:p/>
          <w:p>
            <w:pPr>
              <w:spacing w:after="0" w:before="0" w:lineRule="auto" w:line="276"/>
              <w:jc w:val="left"/>
            </w:pPr>
            <w:r>
              <w:rPr>
                <w:rFonts w:ascii="Times New Roman" w:hAnsi="Times New Roman" w:cs="Times New Roman" w:eastAsia="Times New Roman"/>
                <w:b w:val="false"/>
                <w:sz w:val="26"/>
              </w:rPr>
              <w:t>17-07-2019</w:t>
            </w:r>
          </w:p>
        </w:tc>
        <w:tc>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a) Vùng hoạt động mô tô nước phải đáp ứng các yêu cầu sau: 
- Được xác định bằng hệ thống phao neo, cờ định vị;
- Phao neo, cờ định vị có màu sắc tương phản với màu nước và cảnh quan môi trường để dễ quan sát; khoảng cách giữa các phao neo, cờ định vị nhiều nhất là 50m. Phao neo hình cầu; đường kính ít nhất là 30cm; chất liệu được sử dụng làm phao neo phải là các chất liệu không gây ô nhiễm môi trường. Cờ định vị hình chữ nhật, có kích thước 25cm x 30cm;
- Có độ sâu ít nhất là 2m, không có đá ngầm, rạn san hô, công trình trên biển, khu vực bãi tắm hoặc chướng ngại vật khác;
- Khoảng cách từ mép nước của bờ biển đến giới hạn ngoài của vùng hoạt động nhiều nhất là 650m và đến giới hạn trong của vùng hoạt động ít nhất là 60m.
b) Khoảng cách giữa cửa ra, cửa vào của mỗi bến bãi neo đậu phương tiện ít nhất là 250m. Cửa ra, cửa vào của bến bãi neo đậu phương tiện phải có chiều rộng ít nhất là 06m.
c) Có khu vực vệ sinh, thay đồ, nơi để đồ dùng cá nhân cho người tập; có túi sơ cứu và các thiết bị sơ cứu, cấp cứu ban đầu khác phù hợp với yêu cầu tập luyện, biểu diễn, thi đấu môn Mô tô nước trên biển. 
d) Có bảng nội quy được đặt ở những vị trí dễ nhận biết trong khu vực xuất phát, cửa ra, cửa vào của bến bãi neo đậu. 
Bảng nội quy quy định những nội dung chủ yếu sau: Giờ tập luyện; đối tượng không được tham gia tập luyện, thi đấu, biểu diễn; trang phục tập luyện, thi đấu, biểu diễn; biện pháp bảo đảm an toàn khi tập luyện, biểu diễn và thi đấu; không được điều khiển các phương tiện ra khỏi vùng hoạt động được xác định bằng phao neo, cờ định vị và các quy định khác. 
(2) Trang thiết bị 
a) Động cơ của mô tô nước phải có công suất tính bằng sức ngựa, phù hợp với thiết kế kỹ thuật của phương tiện. 
b) Mô tô nước khi đưa vào hoạt động phải đạt tiêu chuẩn chất lượng, an toàn kỹ thuật và bảo vệ môi trường theo quy định của pháp luật.
c) Thông tin liên lạc và cứu hộ
- Hệ thống thông tin bảo đảm yêu cầu liên lạc từ bộ phận điều hành và cứu hộ đến các vùng hoạt động mô tô nước;
- Trạm quan sát bảo đảm quan sát được toàn bộ vùng hoạt động mô tô nước;
- Có ca nô cứu hộ; có ít nhất là 05 phao cứu sinh trên một ca nô cứu hộ; 
- Bảo đảm  mỗi người có ít nhất 01 áo phao.
(3) Có xuồng máy cứu sinh. 
(4) Mật độ hướng dẫn tập luyện: Mỗi người hướng dẫn tập luyện hướng dẫn không quá 01 người trong một lần tập.
(5) Nhân viên chuyên môn: Có đội ngũ cán bộ, nhân viên chuyên môn phù hợp với nội dung hoạt động.
Điều kiện riêng đối với doanh nghiệp kinh doanh hoạt động thể thao mạo hiểm:
Có đủ nhân viên chuyên môn, bao gồm:
- Người hướng dẫn tập luyện thể thao phải đáp ứng một trong các điều kiện sau đây:
+ Là huấn luyện viên hoặc vận động viên có đẳng cấp từ cấp 2 trở lên hoặc tương đương phù hợp với hoạt động thể thao đăng ký kinh doanh;
+ Có bằng cấp về chuyên ngành thể dục thể thao từ bậc trung cấp trở lên phù hợp với hoạt động thể thao đăng ký kinh doanh;
+ Được tập huấn chuyên môn thể thao theo quy định của Bộ trưởng Bộ Văn hóa, Thể thao và Du lịch.
- Nhân viên cứu hộ;
- Nhân viên y tế thường trực hoặc văn bản thỏa thuận với cơ sở y tế gần nhất về nhân viên y tế để sơ cứu, cấp cứu người tham gia hoạt động thể thao mạo hiểm trong trường hợp cần thiết.
Đối với hoạt động thể thao trên sông, trên biển, trên hồ hoặc suối lớn phải có xuồng máy cứu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2025-11-27T16:34:02Z</dcterms:created>
  <dc:creator>Apache POI</dc:creator>
</cp:coreProperties>
</file>