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6968/QĐ-BCA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đến các tỉnh, thành phố của Việt Nam cho công dân Lào nhập cảnh bằng Giấy thông hành biên giới tại Công an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Công dân Lào mang giấy thông hành biên giới nhập cảnh vào một tỉnh biên giới của Việt Nam, nếu có nhu cầu đến các tỉnh, thành phố khác của Việt Nam thì nộp hồ sơ tại Cơ quan Quản lý xuất nhập cảnh Công an cấp tỉnh nơi nhập cảnh. 
* Cán bộ quản lý xuất nhập cảnh tiếp nhận hồ sơ, kiểm tra tính pháp lý và nội dung hồ sơ:
+ Trường hợp hồ sơ đã đầy đủ, hợp lệ thì cấp giấy hẹn trả kết quả cho người đề nghị cấp giấy phép; yêu cầu nộp phí cho cán bộ thu phí. Cán bộ thu phí thu tiền, giao biên lai thu tiền cho người đề nghị cấp giấy phép.
+ Trường hợp hồ sơ thiếu hoặc không hợp lệ thì cán bộ tiếp nhận hồ sơ hướng dẫn để người đề nghị cấp giấy phép hoàn chỉnh hồ sơ.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cấp giấy phép trực tiếp nhận kết quả tại Cơ quan Quản lý xuất nhập cảnh nơi nộp hồ sơ. Khi đến nhận kết quả mang theo giấy hẹn trả kết quả, biên lai thu tiền để đối chiếu. 
+ Trường hợp chưa cấp giấy phép thì trả lời bằng văn bản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10 USD</w:t>
              <w:t xml:space="preserve"> (10 USD/người.)</w:t>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Quản lý xuất nhập cảnh Công an cấp tỉnh nơi công dân Lào nhập cảnh. 
01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giấy phép đến các tỉnh, thành phố của Việt Nam (mẫu N24 ban hành kèm theo Thông tư số 41/2011/TT-BCA, ngày 29/06/2011 của Bộ Công an)</w:t>
            </w:r>
          </w:p>
        </w:tc>
        <w:tc>
          <w:p/>
          <w:p>
            <w:pPr>
              <w:spacing w:after="0" w:before="0" w:lineRule="auto" w:line="276"/>
              <w:jc w:val="left"/>
            </w:pPr>
            <w:r>
              <w:rPr>
                <w:rFonts w:ascii="Times New Roman" w:hAnsi="Times New Roman" w:cs="Times New Roman" w:eastAsia="Times New Roman"/>
                <w:b w:val="false"/>
                <w:sz w:val="26"/>
              </w:rPr>
              <w:t>TK de nghi cap GP den cac tinh tp cua VN(N24).doc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thông hành biên giới của người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tại trụ sở Phòng Quản lý xuất nhập cảnh Công an tỉnh nơi công dân Lào nhập cảnh.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đến các tỉnh, thành phố của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41/2011/TT-BCA</w:t>
            </w:r>
          </w:p>
        </w:tc>
        <w:tc>
          <w:p/>
          <w:p>
            <w:pPr>
              <w:spacing w:after="0" w:before="0" w:lineRule="auto" w:line="276"/>
              <w:jc w:val="left"/>
            </w:pPr>
            <w:r>
              <w:rPr>
                <w:rFonts w:ascii="Times New Roman" w:hAnsi="Times New Roman" w:cs="Times New Roman" w:eastAsia="Times New Roman"/>
                <w:b w:val="false"/>
                <w:sz w:val="26"/>
              </w:rPr>
              <w:t>Thông tư 41/2011/TT-BCA</w:t>
            </w:r>
          </w:p>
        </w:tc>
        <w:tc>
          <w:p/>
          <w:p>
            <w:pPr>
              <w:spacing w:after="0" w:before="0" w:lineRule="auto" w:line="276"/>
              <w:jc w:val="left"/>
            </w:pPr>
            <w:r>
              <w:rPr>
                <w:rFonts w:ascii="Times New Roman" w:hAnsi="Times New Roman" w:cs="Times New Roman" w:eastAsia="Times New Roman"/>
                <w:b w:val="false"/>
                <w:sz w:val="26"/>
              </w:rPr>
              <w:t>30-06-2011</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công dân Lào nhập cảnh Việt Nam bằng giấy thông hành biên giới do Công an tỉnh có chung đường biên giới với Việt Nam của Lào cấp để công tác hoặc giải quyết việc riêng.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CSDL Quốc gia về TTHC»Bộ Công An»Quản lý xuất nhập cảnh Cấp giấy phép đến các tỉnh, thành phố của Việt Nam cho công dân Lào nhập cảnh bằng Giấy thông hành biên giới tại Công an cấp tỉnh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2025-11-27T16:34:16Z</dcterms:created>
  <dc:creator>Apache POI</dc:creator>
</cp:coreProperties>
</file>