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tổ chức triển lãm do các tổ chức, cá nhân tại địa phương đưa ra nước ngoài không vì mục đích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tại địa phương có nhu cầu tổ chức triển lãm đưa ra nước ngoài không vì mục đích thương mại gửi 01 bộ hồ sơ đề nghị cấp Giấy phép tổ chức triển lãm trực tiếp hoặc qua bưu điện hoặc qua dịch vụ công trực tuyến thuộc cổng thông tin điện tử của Sở Văn hóa, Thể thao và Du lịch hoặc Sở Văn hóa và Thể thao</w:t>
      </w:r>
    </w:p>
    <w:p>
      <w:pPr>
        <w:spacing w:after="0" w:before="0" w:lineRule="auto" w:line="276"/>
        <w:jc w:val="both"/>
      </w:pPr>
      <w:r>
        <w:rPr>
          <w:rFonts w:ascii="Times New Roman" w:hAnsi="Times New Roman" w:cs="Times New Roman" w:eastAsia="Times New Roman"/>
          <w:b w:val="false"/>
          <w:sz w:val="26"/>
        </w:rPr>
        <w:t>Trường hợp hồ sơ chưa hợp lệ hoặc cần điều chỉnh nội dung triển lãm, Sở Văn hóa, Thể thao và Du lịch hoặc Sở Văn hóa và Thể thao gửi văn bản yêu cầu tổ chức, cá nhân bổ sung hồ sơ hoặc điều chỉnh nội dung triển lãm. Tổ chức, cá nhân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w:t>
      </w:r>
    </w:p>
    <w:p>
      <w:pPr>
        <w:spacing w:after="0" w:before="0" w:lineRule="auto" w:line="276"/>
        <w:jc w:val="both"/>
      </w:pPr>
      <w:r>
        <w:rPr>
          <w:rFonts w:ascii="Times New Roman" w:hAnsi="Times New Roman" w:cs="Times New Roman" w:eastAsia="Times New Roman"/>
          <w:b w:val="false"/>
          <w:sz w:val="26"/>
        </w:rPr>
        <w:t>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w:t>
      </w:r>
    </w:p>
    <w:p>
      <w:pPr>
        <w:spacing w:after="0" w:before="0" w:lineRule="auto" w:line="276"/>
        <w:jc w:val="both"/>
      </w:pPr>
      <w:r>
        <w:rPr>
          <w:rFonts w:ascii="Times New Roman" w:hAnsi="Times New Roman" w:cs="Times New Roman" w:eastAsia="Times New Roman"/>
          <w:b w:val="false"/>
          <w:sz w:val="26"/>
        </w:rPr>
        <w:t>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hợp lệ hoặc cần điều chỉnh nội dung triển lãm, Sở Văn hóa, Thể thao và Du lịch hoặc Sở Văn hóa và Thể thao gửi văn bản yêu cầu tổ chức bổ sung hồ sơ hoặc điều chỉnh nội dung triển lãm. Tổ chức, cá nhân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hợp lệ hoặc cần điều chỉnh nội dung triển lãm, Sở Văn hóa, Thể thao và Du lịch hoặc Sở Văn hóa và Thể thao gửi văn bản yêu cầu tổ chức bổ sung hồ sơ hoặc điều chỉnh nội dung triển lãm. Tổ chức, cá nhân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hợp lệ hoặc cần điều chỉnh nội dung triển lãm, Sở Văn hóa, Thể thao và Du lịch hoặc Sở Văn hóa và Thể thao gửi văn bản yêu cầu tổ chức bổ sung hồ sơ hoặc điều chỉnh nội dung triển lãm. Tổ chức, cá nhân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tổ chức triển lãm (mẫu số 01 ban hành kèm theo Nghị định số 23/2019/NĐ-CP ngày 26 tháng 02 năm 2019 của Chính phủ về hoạt động triển lãm)</w:t>
            </w:r>
          </w:p>
        </w:tc>
        <w:tc>
          <w:p/>
          <w:p>
            <w:pPr>
              <w:spacing w:after="0" w:before="0" w:lineRule="auto" w:line="276"/>
              <w:jc w:val="left"/>
            </w:pPr>
            <w:r>
              <w:rPr>
                <w:rFonts w:ascii="Times New Roman" w:hAnsi="Times New Roman" w:cs="Times New Roman" w:eastAsia="Times New Roman"/>
                <w:b w:val="false"/>
                <w:sz w:val="26"/>
              </w:rPr>
              <w:t>Mẫu số 01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tác phẩm, hiện vật, tài liệu (có ghi rõ tên tác giả, chủ sở hữu; tên, số lượng; chất liệu, kích thước tác phẩm hoặc hiện vật, tài liệu; các chú thích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Ảnh chụp từng tác phẩm, hiện vật, tài liệu và makét trưng bày (kích thước 10x15 cm) in trên giấy hoặc ghi vào phương tiện lưu trữ kỹ thuật số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thỏa thuận hoặc thư mời, thông báo, hợp đồng của phía nước ngoài về việc tổ chức triển lãm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minh thư nhân dân hoặc thẻ căn cước công dân của người tổ chức triển lãm (đối với triển lãm do cá nhân người Việt Nam đứng tên tổ chức): Nộp bản sao có chứng thực hoặc bản sao và xuất trình bản chính để đối chiếu (trường hợp nộp hồ sơ trực tiếp); Nộp bản sao có chứng thực (trường hợp nộp qua đường bưu điện); Nộp bản chụp lại từ bản gốc (trường hợp nộp hồ sơ qua dịch vụ công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tổ chức triển lãm không vì mục đích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23/2019/NĐ-CP</w:t>
            </w:r>
          </w:p>
        </w:tc>
        <w:tc>
          <w:p/>
          <w:p>
            <w:pPr>
              <w:spacing w:after="0" w:before="0" w:lineRule="auto" w:line="276"/>
              <w:jc w:val="left"/>
            </w:pPr>
            <w:r>
              <w:rPr>
                <w:rFonts w:ascii="Times New Roman" w:hAnsi="Times New Roman" w:cs="Times New Roman" w:eastAsia="Times New Roman"/>
                <w:b w:val="false"/>
                <w:sz w:val="26"/>
              </w:rPr>
              <w:t>Nghị định 23/2019/NĐ-CP</w:t>
            </w:r>
          </w:p>
        </w:tc>
        <w:tc>
          <w:p/>
          <w:p>
            <w:pPr>
              <w:spacing w:after="0" w:before="0" w:lineRule="auto" w:line="276"/>
              <w:jc w:val="left"/>
            </w:pPr>
            <w:r>
              <w:rPr>
                <w:rFonts w:ascii="Times New Roman" w:hAnsi="Times New Roman" w:cs="Times New Roman" w:eastAsia="Times New Roman"/>
                <w:b w:val="false"/>
                <w:sz w:val="26"/>
              </w:rPr>
              <w:t>26-02-2019</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Tác phẩm, hiện vật, tài liệu được triển lãm không có một trong các nội dung:
a) Tuyên truyền chống lại Nhà nước Cộng hòa xã hội chủ nghĩa Việt Nam; phá hoại khối đại đoàn kết dân tộc;
b) Tiết lộ bí mật của cơ quan, tổ chức, cá nhân mà không được sự đồng ý của cơ quan, tổ chức, cá nhân và bí mật khác do pháp luật quy định;
c) Kích động chiến tranh, gây thù hận giữa các dân tộc và nhân dân các nước; gây chia rẽ tôn giáo, mất đoàn kết dân tộc; truyền bá tư tưởng phản động;
d) Xuyên tạc lịch sử, phủ nhận thành tựu cách mạng; xúc phạm vĩ nhân, anh hùng dân tộc, danh nhân văn hóa; vu khống, xâm hại uy tín của cơ quan, tổ chức, danh dự và nhân phẩm của cá nhân;
đ) Vi phạm các quy định về nếp sống văn minh, an ninh trật tự, tuyên truyền bạo lực, các hành vi tội ác, tệ nạn xã hội gây hại cho sức khỏe, hủy hoại môi trường sinh thái.
2. Tác phẩm, hiện vật, tài liệu được triển lãm không thuộc trường hợp bị đình chỉ lưu hành, cấm lưu hành, thu hồi, tịch thu.
3. Tác phẩm, hiện vật, tài liệu được triển lãm phải phù hợp với chủ đề, nội dung của triển lãm; có nguồn gốc xuất xứ rõ ràng và quyền sở hữu hoặc quyền sử dụng hợp pháp.
4. Địa điểm triển lãm phải phù hợp với quy mô triển lãm, đảm bảo các điều kiện về trật tự an toàn xã hội, vệ sinh môi trường và phòng, chống cháy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2025-11-27T16:34:18Z</dcterms:created>
  <dc:creator>Apache POI</dc:creator>
</cp:coreProperties>
</file>