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1.001231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2286/QĐ-BNG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lập Văn phòng đại diện cho các tổ chức hợp tác, nghiên cứu của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của các tổ chức hợp tác, nghiên cứu song phương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Tổ chức hợp tác, nghiên cứu của nước ngoài nộp hồ sơ đề nghị cấp Giấy phép lập Văn phòng đại diện cho Cục Ngoại vụ và Ngoại giao văn hóa,
Bộ Ngoại giao;</w:t>
      </w:r>
    </w:p>
    <w:p>
      <w:pPr>
        <w:spacing w:after="0" w:before="0" w:lineRule="auto" w:line="276"/>
        <w:jc w:val="both"/>
      </w:pPr>
      <w:r>
        <w:rPr>
          <w:rFonts w:ascii="Times New Roman" w:hAnsi="Times New Roman" w:cs="Times New Roman" w:eastAsia="Times New Roman"/>
          <w:b w:val="false"/>
          <w:sz w:val="26"/>
        </w:rPr>
        <w:t>Cục Ngoại vụ và Ngoại giao văn hóa, Bộ Ngoại giao kiểm tra, hướng dẫn bổ sung các giấy tờ còn thiếu theo quy định, tiến hành thẩm định hồ sơ sau khi phối hợp với các bộ, ngành, địa phương và các cơ quan liên quan để xem xét, giải quyết;</w:t>
      </w:r>
    </w:p>
    <w:p>
      <w:pPr>
        <w:spacing w:after="0" w:before="0" w:lineRule="auto" w:line="276"/>
        <w:jc w:val="both"/>
      </w:pPr>
      <w:r>
        <w:rPr>
          <w:rFonts w:ascii="Times New Roman" w:hAnsi="Times New Roman" w:cs="Times New Roman" w:eastAsia="Times New Roman"/>
          <w:b w:val="false"/>
          <w:sz w:val="26"/>
        </w:rPr>
        <w:t>Tổ chức cử đại diện đến nhận kết quả trực tiếp tại Cục Ngoại vụ và Ngoại giao văn hóa sau 30 ngày làm việc kể từ ngày nộp đủ hồ sơ hợp lệ.</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xin phép lập Văn phòng đại diện tại Việt Nam của tổ chức hợp tác, nghiên cứu của nước ngoài theo Mẫu 01/BNG-VPĐD;</w:t>
            </w:r>
          </w:p>
        </w:tc>
        <w:tc>
          <w:p/>
          <w:p>
            <w:pPr>
              <w:spacing w:after="0" w:before="0" w:lineRule="auto" w:line="276"/>
              <w:jc w:val="left"/>
            </w:pPr>
            <w:r>
              <w:rPr>
                <w:rFonts w:ascii="Times New Roman" w:hAnsi="Times New Roman" w:cs="Times New Roman" w:eastAsia="Times New Roman"/>
                <w:b w:val="false"/>
                <w:sz w:val="26"/>
              </w:rPr>
              <w:t>Mu01.doc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r>
          </w:p>
        </w:tc>
      </w:tr>
      <w:tr>
        <w:tc>
          <w:p/>
          <w:p>
            <w:pPr>
              <w:spacing w:after="0" w:before="0" w:lineRule="auto" w:line="276"/>
              <w:jc w:val="left"/>
            </w:pPr>
            <w:r>
              <w:rPr>
                <w:rFonts w:ascii="Times New Roman" w:hAnsi="Times New Roman" w:cs="Times New Roman" w:eastAsia="Times New Roman"/>
                <w:b w:val="false"/>
                <w:sz w:val="26"/>
              </w:rPr>
              <w:t>Điều lệ hoặc Quy chế hoạt động của Tổ chức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kiện chương trình, dự án đã được Cơ quan chủ quản phía Việt Nam phê duyệt;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Tiểu sử của người dự kiến được cử làm Trưởng Văn phòng đại diện và Thư giới thiệu hoặc quyết định bổ nhiệm làm Trưởng văn phòng đại diện tại Việt Nam của người đứng đầu bộ, ngành hoặc chính quyền địa phương phụ trách tổ chức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của Bộ, ngành hoặc chính quyền địa phương nước ngoài phụ trách cho phép tổ chức nước ngoài lập VPĐD tại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xác nhận tư cách pháp nhân của tổ chức nước ngoài do cơ quan có thẩm quyền của nước nơi đặt trụ sở chính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Ngoại vụ - Bộ Ngoại giao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Ngoại giao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Ngoại vụ - Bộ Ngoại giao, địa chỉ: Nhà làm việc Bộ Ngoại giao, Lê Quang Đạo, Nam Từ Liêm,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	Giấy phép lập Văn phòng đại diện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06/2005/NĐ-CP</w:t>
            </w:r>
          </w:p>
        </w:tc>
        <w:tc>
          <w:p/>
          <w:p>
            <w:pPr>
              <w:spacing w:after="0" w:before="0" w:lineRule="auto" w:line="276"/>
              <w:jc w:val="left"/>
            </w:pPr>
            <w:r>
              <w:rPr>
                <w:rFonts w:ascii="Times New Roman" w:hAnsi="Times New Roman" w:cs="Times New Roman" w:eastAsia="Times New Roman"/>
                <w:b w:val="false"/>
                <w:sz w:val="26"/>
              </w:rPr>
              <w:t>	 Nghị định 06/2005/NĐ-CP</w:t>
            </w:r>
          </w:p>
        </w:tc>
        <w:tc>
          <w:p/>
          <w:p>
            <w:pPr>
              <w:spacing w:after="0" w:before="0" w:lineRule="auto" w:line="276"/>
              <w:jc w:val="left"/>
            </w:pPr>
            <w:r>
              <w:rPr>
                <w:rFonts w:ascii="Times New Roman" w:hAnsi="Times New Roman" w:cs="Times New Roman" w:eastAsia="Times New Roman"/>
                <w:b w:val="false"/>
                <w:sz w:val="26"/>
              </w:rPr>
              <w:t>19-01-2005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10/2005/TT-BNG</w:t>
            </w:r>
          </w:p>
        </w:tc>
        <w:tc>
          <w:p/>
          <w:p>
            <w:pPr>
              <w:spacing w:after="0" w:before="0" w:lineRule="auto" w:line="276"/>
              <w:jc w:val="left"/>
            </w:pPr>
            <w:r>
              <w:rPr>
                <w:rFonts w:ascii="Times New Roman" w:hAnsi="Times New Roman" w:cs="Times New Roman" w:eastAsia="Times New Roman"/>
                <w:b w:val="false"/>
                <w:sz w:val="26"/>
              </w:rPr>
              <w:t>Thông tư 10/2005/TT-BNG</w:t>
            </w:r>
          </w:p>
        </w:tc>
        <w:tc>
          <w:p/>
          <w:p>
            <w:pPr>
              <w:spacing w:after="0" w:before="0" w:lineRule="auto" w:line="276"/>
              <w:jc w:val="left"/>
            </w:pPr>
            <w:r>
              <w:rPr>
                <w:rFonts w:ascii="Times New Roman" w:hAnsi="Times New Roman" w:cs="Times New Roman" w:eastAsia="Times New Roman"/>
                <w:b w:val="false"/>
                <w:sz w:val="26"/>
              </w:rPr>
              <w:t>19-05-2005</w:t>
            </w:r>
          </w:p>
        </w:tc>
        <w:tc>
          <w:p/>
          <w:p>
            <w:pPr>
              <w:spacing w:after="0" w:before="0" w:lineRule="auto" w:line="276"/>
              <w:jc w:val="left"/>
            </w:pPr>
            <w:r>
              <w:rPr>
                <w:rFonts w:ascii="Times New Roman" w:hAnsi="Times New Roman" w:cs="Times New Roman" w:eastAsia="Times New Roman"/>
                <w:b w:val="false"/>
                <w:sz w:val="26"/>
              </w:rPr>
              <w:t>Bộ Ngoại giao</w:t>
            </w:r>
          </w:p>
        </w:tc>
      </w:tr>
      <w:tr>
        <w:tc>
          <w:p/>
          <w:p>
            <w:pPr>
              <w:spacing w:after="0" w:before="0" w:lineRule="auto" w:line="276"/>
              <w:jc w:val="left"/>
            </w:pPr>
            <w:r>
              <w:rPr>
                <w:rFonts w:ascii="Times New Roman" w:hAnsi="Times New Roman" w:cs="Times New Roman" w:eastAsia="Times New Roman"/>
                <w:b w:val="false"/>
                <w:sz w:val="26"/>
              </w:rPr>
              <w:t>03/2025/TT-BNG</w:t>
            </w:r>
          </w:p>
        </w:tc>
        <w:tc>
          <w:p/>
          <w:p>
            <w:pPr>
              <w:spacing w:after="0" w:before="0" w:lineRule="auto" w:line="276"/>
              <w:jc w:val="left"/>
            </w:pPr>
            <w:r>
              <w:rPr>
                <w:rFonts w:ascii="Times New Roman" w:hAnsi="Times New Roman" w:cs="Times New Roman" w:eastAsia="Times New Roman"/>
                <w:b w:val="false"/>
                <w:sz w:val="26"/>
              </w:rPr>
              <w:t>Thông tư số 03/2025/TT-BNG ngày 13 tháng 6 năm 2025 của Bộ trưởng Bộ Ngoại giao sửa đổi, bổ sung, bãi bỏ một số điều của Thông tư số 10/2005/TT-BNG ngày 19 tháng 5 năm 2005 của Bộ trưởng Bộ Ngoại giao hướng dẫn một số điều của Nghị định số 06/2005/NĐ-CP ngày 19 tháng 01 năm 2005 của Chính phủ quy định về việc lập và hoạt động của Văn phòng đại diện của các tổ chức hợp tác, nghiên cứu của nước ngoài tại Việt Nam.</w:t>
            </w:r>
          </w:p>
        </w:tc>
        <w:tc>
          <w:p/>
          <w:p>
            <w:pPr>
              <w:spacing w:after="0" w:before="0" w:lineRule="auto" w:line="276"/>
              <w:jc w:val="left"/>
            </w:pPr>
            <w:r>
              <w:rPr>
                <w:rFonts w:ascii="Times New Roman" w:hAnsi="Times New Roman" w:cs="Times New Roman" w:eastAsia="Times New Roman"/>
                <w:b w:val="false"/>
                <w:sz w:val="26"/>
              </w:rPr>
              <w:t>13-06-2025</w:t>
            </w:r>
          </w:p>
        </w:tc>
        <w:tc>
          <w:p/>
          <w:p>
            <w:pPr>
              <w:spacing w:after="0" w:before="0" w:lineRule="auto" w:line="276"/>
              <w:jc w:val="left"/>
            </w:pPr>
            <w:r>
              <w:rPr>
                <w:rFonts w:ascii="Times New Roman" w:hAnsi="Times New Roman" w:cs="Times New Roman" w:eastAsia="Times New Roman"/>
                <w:b w:val="false"/>
                <w:sz w:val="26"/>
              </w:rPr>
              <w:t>Bộ Ngoại giao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Có điều lệ, tôn chỉ, mục đích hoạt động rõ ràng, phù hợp với lĩnh vực hợp tác, nghiên cứu với Cơ quan chủ quản phía Việt Nam.
2. Có chương trình, dự án hợp tác, nghiên cứu dài hạn từ 5 năm trở lên tại Việt Nam được cơ quan có thẩm quyền của Việt Nam phê duyệt.
3. Có tư cách pháp nhân theo pháp luật của nước nơi Tổ chức nước ngoài đặt trụ sở chính.
4. Được Bộ, ngành hoặc chính quyền địa phương nước ngoài phụ trách cho phép lập Văn phòng đại diện tại Việt Nam.</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https://thutuc.dichvucong.gov.vn/p/home/dvc-tthc-thu-tuc-hanh-chinh-chi-tiet.html?ma_thu_tuc=1829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2025-11-27T16:34:19Z</dcterms:created>
  <dc:creator>Apache POI</dc:creator>
</cp:coreProperties>
</file>