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nhà đầu tư nước ngoài mua cổ phần dẫn đến mức sở hữu từ 5% vốn điều lệ trở lên hoặc mua thêm cổ phần khi nhà đầu tư nước ngoài đã sở hữu từ 5% vốn điều lệ trở lên của một tổ chức tín dụng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tín dụng Việt Nam (đối với trường hợp mua cổ phần của tổ chức tín dụng Việt Nam chưa niêm yết, chưa đăng ký giao dịch cổ phiếu trên Sở giao dịch chứng khoán) hoặc nhà đầu tư nước ngoài (đối với trường hợp tổ chức tín dụng Việt Nam đã niêm yết, đã đăng ký giao dịch cổ phiếu trên Sở giao dịch chứng khoán) lập hồ sơ gửi trực tiếp hoặc qua bưu điện đến Ngân hàng Nhà nước đề nghị chấp thuận việc nhà đầu tư nước ngoài mua cổ phần của tổ chức tín dụng Việt Nam theo quy định tại Thông tư này.</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được hồ sơ, Ngân hàng Nhà nước có văn bản xác nhận hồ sơ đầy đủ và hợp lệ, trường hợp hồ sơ chưa đầy đủ, hợp lệ Ngân hàng Nhà nước có văn bản yêu cầu bổ sung. Trong thời hạn 05 ngày làm việc kể từ ngày nhận đủ hồ sơ bổ sung, Ngân hàng Nhà nước có văn bản xác nhận về việc nhận đủ hồ sơ bổ sung.</w:t>
      </w:r>
    </w:p>
    <w:p>
      <w:pPr>
        <w:spacing w:after="0" w:before="0" w:lineRule="auto" w:line="276"/>
        <w:jc w:val="both"/>
      </w:pPr>
      <w:r>
        <w:rPr>
          <w:rFonts w:ascii="Times New Roman" w:hAnsi="Times New Roman" w:cs="Times New Roman" w:eastAsia="Times New Roman"/>
          <w:b w:val="false"/>
          <w:sz w:val="26"/>
        </w:rPr>
        <w:t>Bước 3: Trong thời hạn 40 ngày kể từ ngày nhận đủ hồ sơ hợp lệ, Ngân hàng Nhà nước xem xét chấp thuận hoặc không chấp thuận bằng văn bản việc mua cổ phần của nhà đầu tư nước ngoài. Trường hợp không chấp thuận, văn bản của Ngân hàng Nhà nước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 Đối với trường hợp nhà đầu tư nước ngoài mua cổ phần của tổ chức tín dụng Việt Nam đã niêm yết, đã đăng ký giao dịch cổ phiếu: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chấp thuận việc mua cổ phần của nhà đầu tư nước ngoài theo mẫu quy định</w:t>
            </w:r>
          </w:p>
        </w:tc>
        <w:tc>
          <w:p/>
          <w:p>
            <w:pPr>
              <w:spacing w:after="0" w:before="0" w:lineRule="auto" w:line="276"/>
              <w:jc w:val="left"/>
            </w:pPr>
            <w:r>
              <w:rPr>
                <w:rFonts w:ascii="Times New Roman" w:hAnsi="Times New Roman" w:cs="Times New Roman" w:eastAsia="Times New Roman"/>
                <w:b w:val="false"/>
                <w:sz w:val="26"/>
              </w:rPr>
              <w:t>Phụ lục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cấp Mã số Giao dịch chứng khoán do Trung tâm Lưu ký chứng khoán Việt Nam cấp cho nhà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của ngân hàng mở tài khoản tiền gửi cho nhà đầu tư nước ngoài về số dư tài khoản tiền gửi của nhà đầu tư nước ngoài hoặc tài liệu khác chứng minh nhà đầu tư nước ngoài có đủ nguồn tài chính hợp pháp để mua cổ phần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kê khai về tình hình sở hữu cổ phần của nhà đầu tư nước ngoài và người có liên quan của nhà đầu tư nước ngoài tại các tổ chức tín dụng Việt Nam tính đến thời điểm nộp hồ sơ theo mẫu quy định.</w:t>
            </w:r>
          </w:p>
        </w:tc>
        <w:tc>
          <w:p/>
          <w:p>
            <w:pPr>
              <w:spacing w:after="0" w:before="0" w:lineRule="auto" w:line="276"/>
              <w:jc w:val="left"/>
            </w:pPr>
            <w:r>
              <w:rPr>
                <w:rFonts w:ascii="Times New Roman" w:hAnsi="Times New Roman" w:cs="Times New Roman" w:eastAsia="Times New Roman"/>
                <w:b w:val="false"/>
                <w:sz w:val="26"/>
              </w:rPr>
              <w:t>Phụ lục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Lý lịch tự khai theo mẫu quy định, bản sao hộ chiếu hoặc chứng thực cá nhân hợp pháp khác của nhà đầu tư nước ngoài là cá nhân, của người đại diện theo pháp luật của nhà đầu tư nước ngoài và người được ủy quyền đại diện phần vốn của nhà đầu tư nước ngoài là tổ chức tại tổ chức tín dụng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nhà đầu tư nước ngoài ủy quyền cho người đại diện giao dịch tại Việt Nam thực hiện mua cổ phần của tổ chức tín dụng Việt Nam, hồ sơ bổ sung các thành phần sau: i) Hợp đồng ủy quyền, hợp đồng ủy thác, hợp đồng chỉ định đầu tư hoặc các hình thức văn bản khác phù hợp với quy định của pháp luật giữa nhà đầu tư nước ngoài và người đại diện giao dịch tại Việt Nam; ii) Văn bản xác nhận của Ủy ban chứng khoán Nhà nước về người đại diện giao dịch hoặc thay đổi người đại diện giao dịch tại Việt Nam (nếu có) của nhà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tổ chức tín dụng Việt Nam phát hành cổ phiếu riêng lẻ cho nhà đầu tư nước ngoài để tăng vốn điều lệ, hồ sơ bổ sung các thành phần sau: i) Giấy đăng ký chào bán cổ phiếu riêng lẻ theo quy định; ii) Nghị quyết của Đại hội đồng cổ đông của tổ chức tín dụng Việt Nam phê duyệt về chủ trương phát hành cổ phiếu riêng lẻ để tăng vốn điều lệ và phương án sử dụng số tiền thu được từ đợt chào bán; iii) Văn bản thỏa thuận mua bán cổ phần giữa tổ chức tín dụng Việt Nam và nhà đầu tư nước ngoài; iv) Văn bản chấp thuận của Ngân hàng nhà nước về việc tăng vốn điều lệ và phát hành cổ phiếu riêng lẻ cho nhà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nhà đầu tư nước ngoài là tổ chức, hồ sơ bổ sung các thành phần hồ sơ sau: i) Quyết định của cấp có thẩm quyền của nhà đầu tư nước ngoài về việc mua cổ phần của tổ chức tín dụng Việt Nam; ii) Bản sao Giấy phép thành lập và hoạt động hoặc văn bản tương đương của nhà đầu tư nước ngoài; iii) Điều lệ hoặc văn bản pháp lý khác có quy định về người đại diện theo pháp luật trong trường hợp người đại diện theo pháp luật của nhà đầu tư nước ngoài không phải là Chủ tịch Hội đồng quản trị, Chủ tịch Hội đồng thành viên, Chủ tịch công ty, Tổng giám đốc (Giám đốc).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liệt kê danh mục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 Đối với trường hợp nhà đầu tư nước ngoài mua cổ phần của tổ chức tín dụng Việt Nam chưa niêm yết, chưa đăng ký giao dịch cổ phiếu: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do tổ chức tín dụng Việt Nam lập gồm: + Văn bản của tổ chức tín dụng Việt Nam đề nghị chấp thuận việc mua cổ phần của nhà đầu tư nước ngoài; + Danh sách và tỷ lệ sở hữu cổ phần của cổ đông là nhà đầu tư nước ngoài của tổ chức tín dụng Việt Nam trước và sau khi chuyển nhượng cổ phần; + Trong trường hợp tổ chức tín dụng Việt Nam phát hành cổ phiếu riêng lẻ cho nhà đầu tư nước ngoài để tăng vốn điều lệ, hồ sơ cần phải bổ sung các thành phần hồ sơ quy định tại i) Giấy đăng ký chào bán cổ phiếu riêng lẻ theo quy định; ii) Nghị quyết của Đại hội đồng cổ đông của tổ chức tín dụng Việt Nam phê duyệt về chủ trương phát hành cổ phiếu riêng lẻ để tăng vốn điều lệ và phương án sử dụng số tiền thu được từ đợt chào bán; iii) Văn bản thỏa thuận mua bán cổ phần giữa tổ chức tín dụng Việt Nam và nhà đầu tư nước ngoài; iv) Văn bản chấp thuận của Ngân hàng nhà nước về việc tăng vốn điều lệ và phát hành cổ phiếu riêng lẻ cho nhà đầu tư nước ngoài; + Bảng liệt kê danh mục hồ sơ.</w:t>
            </w:r>
          </w:p>
        </w:tc>
        <w:tc>
          <w:p/>
          <w:p>
            <w:pPr>
              <w:spacing w:after="0" w:before="0" w:lineRule="auto" w:line="276"/>
              <w:jc w:val="left"/>
            </w:pPr>
            <w:r>
              <w:rPr>
                <w:rFonts w:ascii="Times New Roman" w:hAnsi="Times New Roman" w:cs="Times New Roman" w:eastAsia="Times New Roman"/>
                <w:b w:val="false"/>
                <w:sz w:val="26"/>
              </w:rPr>
              <w:t>Phụ lục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Thành phần hồ sơ do nhà đầu tư nước ngoài lập gồm: + Thành phần hồ sơ quy định tại phần 1 nêu trên. + Văn bản thỏa thuận về việc chuyển nhượng cổ phần giữa các bên trong trường hợp nhà đầu tư nước ngoài mua cổ phần của cổ đông của tổ chức tín dụng Việt Nam.</w:t>
            </w:r>
          </w:p>
        </w:tc>
        <w:tc>
          <w:p/>
          <w:p>
            <w:pPr>
              <w:spacing w:after="0" w:before="0" w:lineRule="auto" w:line="276"/>
              <w:jc w:val="left"/>
            </w:pPr>
            <w:r>
              <w:rPr>
                <w:rFonts w:ascii="Times New Roman" w:hAnsi="Times New Roman" w:cs="Times New Roman" w:eastAsia="Times New Roman"/>
                <w:b w:val="false"/>
                <w:sz w:val="26"/>
              </w:rPr>
              <w:t>Phụ lục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việc nhà đầu tư nước ngoài mua cổ phần dẫn đến mức sở hữu từ 5% vốn điều lệ trở lên hoặc mua thêm cổ phần khi nhà đầu tư nước ngoài đã sở hữu từ 5% vốn điều lệ trở lên của một tổ chức tín dụng Việt Nam, Văn bản không chấp thuận việc nhà đầu tư nước ngoài mua cổ phần dẫn đến mức sở hữu từ 5% vốn điều lệ trở lên hoặc mua thêm cổ phần khi nhà đầu tư nước ngoài đã sở hữu từ 5% vốn điều lệ trở lên của một tổ chức tín dụng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38/2014/TT-NHNN</w:t>
            </w:r>
          </w:p>
        </w:tc>
        <w:tc>
          <w:p/>
          <w:p>
            <w:pPr>
              <w:spacing w:after="0" w:before="0" w:lineRule="auto" w:line="276"/>
              <w:jc w:val="left"/>
            </w:pPr>
            <w:r>
              <w:rPr>
                <w:rFonts w:ascii="Times New Roman" w:hAnsi="Times New Roman" w:cs="Times New Roman" w:eastAsia="Times New Roman"/>
                <w:b w:val="false"/>
                <w:sz w:val="26"/>
              </w:rPr>
              <w:t>Thông tư 38/2014/TT-NHNN</w:t>
            </w:r>
          </w:p>
        </w:tc>
        <w:tc>
          <w:p/>
          <w:p>
            <w:pPr>
              <w:spacing w:after="0" w:before="0" w:lineRule="auto" w:line="276"/>
              <w:jc w:val="left"/>
            </w:pPr>
            <w:r>
              <w:rPr>
                <w:rFonts w:ascii="Times New Roman" w:hAnsi="Times New Roman" w:cs="Times New Roman" w:eastAsia="Times New Roman"/>
                <w:b w:val="false"/>
                <w:sz w:val="26"/>
              </w:rPr>
              <w:t>08-12-2014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01/2014/NĐ-CP</w:t>
            </w:r>
          </w:p>
        </w:tc>
        <w:tc>
          <w:p/>
          <w:p>
            <w:pPr>
              <w:spacing w:after="0" w:before="0" w:lineRule="auto" w:line="276"/>
              <w:jc w:val="left"/>
            </w:pPr>
            <w:r>
              <w:rPr>
                <w:rFonts w:ascii="Times New Roman" w:hAnsi="Times New Roman" w:cs="Times New Roman" w:eastAsia="Times New Roman"/>
                <w:b w:val="false"/>
                <w:sz w:val="26"/>
              </w:rPr>
              <w:t>Nghị định 01/2014/NĐ-CP</w:t>
            </w:r>
          </w:p>
        </w:tc>
        <w:tc>
          <w:p/>
          <w:p>
            <w:pPr>
              <w:spacing w:after="0" w:before="0" w:lineRule="auto" w:line="276"/>
              <w:jc w:val="left"/>
            </w:pPr>
            <w:r>
              <w:rPr>
                <w:rFonts w:ascii="Times New Roman" w:hAnsi="Times New Roman" w:cs="Times New Roman" w:eastAsia="Times New Roman"/>
                <w:b w:val="false"/>
                <w:sz w:val="26"/>
              </w:rPr>
              <w:t>03-01-2014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2025-11-27T16:34:31Z</dcterms:created>
  <dc:creator>Apache POI</dc:creator>
</cp:coreProperties>
</file>