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nhà đầu tư nước ngoài mua cổ phần dẫn đến mức sở hữu từ 10% vốn điều lệ trở lên của một tổ chức tín dụng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w:t>
      </w:r>
    </w:p>
    <w:p>
      <w:pPr>
        <w:spacing w:after="0" w:before="0" w:lineRule="auto" w:line="276"/>
        <w:jc w:val="both"/>
      </w:pPr>
      <w:r>
        <w:rPr>
          <w:rFonts w:ascii="Times New Roman" w:hAnsi="Times New Roman" w:cs="Times New Roman" w:eastAsia="Times New Roman"/>
          <w:b w:val="false"/>
          <w:sz w:val="26"/>
        </w:rPr>
        <w:t>- Đối với trường hợp nhà đầu tư nước ngoài mua cổ phần của tổ chức tín dụng Việt Nam đã niêm yết, đã đăng ký giao dịch cổ phiếu trên Sở giao dịch chứng khoán: Tổ chức tín dụng Việt Nam lập hồ sơ gửi đến Ngân hàng Nhà nước đề nghị chấp thuận việc nhà đầu tư nước ngoài mua cổ phần của tổ chức tín dụng Việt Nam theo quy định.</w:t>
      </w:r>
    </w:p>
    <w:p>
      <w:pPr>
        <w:spacing w:after="0" w:before="0" w:lineRule="auto" w:line="276"/>
        <w:jc w:val="both"/>
      </w:pPr>
      <w:r>
        <w:rPr>
          <w:rFonts w:ascii="Times New Roman" w:hAnsi="Times New Roman" w:cs="Times New Roman" w:eastAsia="Times New Roman"/>
          <w:b w:val="false"/>
          <w:sz w:val="26"/>
        </w:rPr>
        <w:t>- Đối với trường hợp nhà đầu tư nước ngoài mua cổ phần của tổ chức tín dụng Việt Nam chưa niêm yết, chưa đăng ký giao dịch cổ phiếu trên Sở giao dịch chứng khoán: Nhà đầu tư nước ngoài lập hồ sơ gửi đến Ngân hàng Nhà nước đề nghị chấp thuận việc mua cổ phần của tổ chức tín dụng Việt Nam.</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Ngân hàng Nhà nước ra văn bản chấp thuận hoặc không chấp thuận việc mua cổ phần của nhà đầu tư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Đối với tổ chức tín dụng Việt Nam đã niêm yết, đã đăng ký giao dịch cổ phiếu: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chấp thuận việc mua cổ phần của nhà đầu tư nước ngoài theo mẫu quy định;</w:t>
            </w:r>
          </w:p>
        </w:tc>
        <w:tc>
          <w:p/>
          <w:p>
            <w:pPr>
              <w:spacing w:after="0" w:before="0" w:lineRule="auto" w:line="276"/>
              <w:jc w:val="left"/>
            </w:pPr>
            <w:r>
              <w:rPr>
                <w:rFonts w:ascii="Times New Roman" w:hAnsi="Times New Roman" w:cs="Times New Roman" w:eastAsia="Times New Roman"/>
                <w:b w:val="false"/>
                <w:sz w:val="26"/>
              </w:rPr>
              <w:t>Phụ lục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cấp Mã số Giao dịch chứng khoán do Trung tâm Lưu ký chứng khoán Việt Nam cấp cho nhà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của ngân hàng mở tài khoản tiền gửi cho nhà đầu tư nước ngoài về số dư tài khoản tiền gửi của nhà đầu tư nước ngoài hoặc tài liệu khác chứng minh nhà đầu tư nước ngoài có đủ nguồn tài chính hợp pháp để mua cổ phần.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khai về tình hình sở hữu cổ phần của nhà đầu tư nước ngoài và người có liên quan của nhà đầu tư nước ngoài tại các tổ chức tín dụng Việt Nam tính đến thời điểm nộp hồ sơ theo mẫu quy định.</w:t>
            </w:r>
          </w:p>
        </w:tc>
        <w:tc>
          <w:p/>
          <w:p>
            <w:pPr>
              <w:spacing w:after="0" w:before="0" w:lineRule="auto" w:line="276"/>
              <w:jc w:val="left"/>
            </w:pPr>
            <w:r>
              <w:rPr>
                <w:rFonts w:ascii="Times New Roman" w:hAnsi="Times New Roman" w:cs="Times New Roman" w:eastAsia="Times New Roman"/>
                <w:b w:val="false"/>
                <w:sz w:val="26"/>
              </w:rPr>
              <w:t>Phụ lục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tự khai theo mẫu quy định, bản sao hộ chiếu hoặc chứng thực cá nhân hợp pháp khác của nhà đầu tư nước ngoài là cá nhân, của người đại diện theo pháp luật của nhà đầu tư nước ngoài và người được ủy quyền đại diện phần vốn của nhà đầu tư nước ngoài là tổ chức tại tổ chức tín dụng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nhà đầu tư nước ngoài ủy quyền cho người đại diện giao dịch tại Việt Nam thực hiện mua cổ phần của tổ chức tín dụng Việt Nam, hồ sơ bổ sung các thành phần sau: i) Hợp đồng ủy quyền, hợp đồng ủy thác, hợp đồng chỉ định đầu tư hoặc các hình thức văn bản khác phù hợp với quy định của pháp luật giữa nhà đầu tư nước ngoài và người đại diện giao dịch tại Việt Nam; ii) Văn bản xác nhận của Ủy ban chứng khoán Nhà nước về người đại diện giao dịch hoặc thay đổi người đại diện giao dịch tại Việt Nam (nếu có) của nhà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tổ chức tín dụng Việt Nam phát hành cổ phiếu riêng lẻ cho nhà đầu tư nước ngoài để tăng vốn điều lệ, hồ sơ bổ sung các thành phần sau: i) Giấy đăng ký chào bán cổ phiếu riêng lẻ theo quy định; ii) Nghị quyết của Đại hội đồng cổ đông của tổ chức tín dụng Việt Nam phê duyệt về chủ trương phát hành cổ phiếu riêng lẻ để tăng vốn điều lệ và phương án sử dụng số tiền thu được từ đợt chào bán; iii) Văn bản thỏa thuận mua bán cổ phần giữa tổ chức tín dụng Việt Nam và nhà đầu tư nước ngoài; iv) Văn bản chấp thuận của Ngân hàng nhà nước về việc tăng vốn điều lệ và phát hành cổ phiếu riêng lẻ cho nhà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nhà đầu tư nước ngoài là tổ chức, hồ sơ bổ sung các thành phần hồ sơ sau: i) Quyết định của cấp có thẩm quyền của nhà đầu tư nước ngoài về việc mua cổ phần của tổ chức tín dụng Việt Nam; ii) Bản sao Giấy phép thành lập và hoạt động hoặc văn bản tương đương của nhà đầu tư nước ngoài; iii) Điều lệ hoặc văn bản pháp lý khác có quy định về người đại diện theo pháp luật trong trường hợp người đại diện theo pháp luật của nhà đầu tư nước ngoài không phải là Chủ tịch Hội đồng quản trị, Chủ tịch Hội đồng thành viên, Chủ tịch công ty, Tổng giám đốc (Giám đốc).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hoặc tài liệu của tổ chức xếp hạng tín nhiệm quốc tế về kết quả xếp hạng tín nhiệm gần nhất với thời điểm nộp hồ sơ đối với tổ chức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cơ quan có thẩm quyền của nước nguyên xứ cung cấp thông tin về tình hình tuân thủ pháp luật về lĩnh vực tiền tệ, hoạt động ngân hàng, chứng khoán và thị trường chứng khoán của nhà đầu tư nước ngoài tại nước nơi nhà đầu tư nước ngoài đặt trụ sở chính trong thời hạn 12 tháng tính đến thời điểm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tài chính đã được kiểm toán độc lập của năm liền kề trước năm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liệt kê danh mục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 Đối với tổ chức tín dụng chưa niêm yết, chưa đăng ký giao dịch cổ phiểu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do tổ chức tín dụng Việt Nam lập gồm: + Văn bản của tổ chức tín dụng Việt Nam đề nghị chấp thuận việc mua cổ phần của nhà đầu tư nước ngoài; + Danh sách và tỷ lệ sở hữu cổ phần của cổ đông là nhà đầu tư nước ngoài của tổ chức tín dụng Việt Nam trước và sau khi chuyển nhượng cổ phần; + Trong trường hợp tổ chức tín dụng Việt Nam phát hành cổ phiếu riêng lẻ cho nhà đầu tư nước ngoài để tăng vốn điều lệ, hồ sơ cần phải bổ sung các thành phần hồ sơ quy định tại i) Giấy đăng ký chào bán cổ phiếu riêng lẻ theo quy định; ii) Nghị quyết của Đại hội đồng cổ đông của tổ chức tín dụng Việt Nam phê duyệt về chủ trương phát hành cổ phiếu riêng lẻ để tăng vốn điều lệ và phương án sử dụng số tiền thu được từ đợt chào bán; iii) Văn bản thỏa thuận mua bán cổ phần giữa tổ chức tín dụng Việt Nam và nhà đầu tư nước ngoài; iv) Văn bản chấp thuận của Ngân hàng nhà nước về việc tăng vốn điều lệ và phát hành cổ phiếu riêng lẻ cho nhà đầu tư nước ngoài; + Bảng liệt kê danh mục hồ sơ.</w:t>
            </w:r>
          </w:p>
        </w:tc>
        <w:tc>
          <w:p/>
          <w:p>
            <w:pPr>
              <w:spacing w:after="0" w:before="0" w:lineRule="auto" w:line="276"/>
              <w:jc w:val="left"/>
            </w:pPr>
            <w:r>
              <w:rPr>
                <w:rFonts w:ascii="Times New Roman" w:hAnsi="Times New Roman" w:cs="Times New Roman" w:eastAsia="Times New Roman"/>
                <w:b w:val="false"/>
                <w:sz w:val="26"/>
              </w:rPr>
              <w:t>Phụ lục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Thành phần hồ sơ do nhà đầu tư nước ngoài lập gồm: + Thành phần hồ sơ quy định tại phần 1 nêu trên. + Văn bản thỏa thuận về việc chuyển nhượng cổ phần giữa các bên trong trường hợp nhà đầu tư nước ngoài mua cổ phần của cổ đông của tổ chức tín dụng Việt Nam. - Văn bản hoặc tài liệu của tổ chức xếp hạng tín nhiệm quốc tế về kết quả xếp hạng tín nhiệm gần nhất với thời điểm nộp hồ sơ đối với tổ chức nước ngoài. - Văn bản của cơ quan có thẩm quyền của nước nguyên xứ cung cấp thông tin về tình hình tuân thủ pháp luật về lĩnh vực tiền tệ, hoạt động ngân hàng, chứng khoán và thị trường chứng khoán của nhà đầu tư nước ngoài tại nước nơi nhà đầu tư nước ngoài đặt trụ sở chính trong thời hạn 12 tháng tính đến thời điểm nộp hồ sơ. - Báo cáo tài chính đã được kiểm toán độc lập của năm liền kề trước năm nộp hồ sơ.</w:t>
            </w:r>
          </w:p>
        </w:tc>
        <w:tc>
          <w:p/>
          <w:p>
            <w:pPr>
              <w:spacing w:after="0" w:before="0" w:lineRule="auto" w:line="276"/>
              <w:jc w:val="left"/>
            </w:pPr>
            <w:r>
              <w:rPr>
                <w:rFonts w:ascii="Times New Roman" w:hAnsi="Times New Roman" w:cs="Times New Roman" w:eastAsia="Times New Roman"/>
                <w:b w:val="false"/>
                <w:sz w:val="26"/>
              </w:rPr>
              <w:t>Phụ lục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nhà đầu tư nước ngoài mua cổ phần dẫn đến mức sở hữu từ 10% vốn điều lệ trở lên của một tổ chức tín dụng Việt Nam, Văn bản không chấp thuận việc nhà đầu tư nước ngoài mua cổ phần dẫn đến mức sở hữu từ 10% vốn điều lệ trở lên của một tổ chức tín dụng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38/2014/TT-NHNN</w:t>
            </w:r>
          </w:p>
        </w:tc>
        <w:tc>
          <w:p/>
          <w:p>
            <w:pPr>
              <w:spacing w:after="0" w:before="0" w:lineRule="auto" w:line="276"/>
              <w:jc w:val="left"/>
            </w:pPr>
            <w:r>
              <w:rPr>
                <w:rFonts w:ascii="Times New Roman" w:hAnsi="Times New Roman" w:cs="Times New Roman" w:eastAsia="Times New Roman"/>
                <w:b w:val="false"/>
                <w:sz w:val="26"/>
              </w:rPr>
              <w:t>Thông tư 38/2014/TT-NHNN</w:t>
            </w:r>
          </w:p>
        </w:tc>
        <w:tc>
          <w:p/>
          <w:p>
            <w:pPr>
              <w:spacing w:after="0" w:before="0" w:lineRule="auto" w:line="276"/>
              <w:jc w:val="left"/>
            </w:pPr>
            <w:r>
              <w:rPr>
                <w:rFonts w:ascii="Times New Roman" w:hAnsi="Times New Roman" w:cs="Times New Roman" w:eastAsia="Times New Roman"/>
                <w:b w:val="false"/>
                <w:sz w:val="26"/>
              </w:rPr>
              <w:t>08-12-2014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2025-11-27T16:34:41Z</dcterms:created>
  <dc:creator>Apache POI</dc:creator>
</cp:coreProperties>
</file>