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6132" w:rsidRDefault="004A7364">
      <w:pPr>
        <w:spacing w:after="300" w:line="276" w:lineRule="auto"/>
        <w:jc w:val="center"/>
      </w:pPr>
      <w:r>
        <w:rPr>
          <w:rFonts w:ascii="Times New Roman" w:eastAsia="Times New Roman" w:hAnsi="Times New Roman" w:cs="Times New Roman"/>
          <w:b/>
          <w:sz w:val="26"/>
        </w:rPr>
        <w:t>Chi tiết thủ tục hành chính</w:t>
      </w:r>
    </w:p>
    <w:p w:rsidR="008F6132" w:rsidRDefault="004A736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1.001258</w:t>
      </w:r>
    </w:p>
    <w:p w:rsidR="008F6132" w:rsidRDefault="004A736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5283/QĐ-BCA</w:t>
      </w:r>
    </w:p>
    <w:p w:rsidR="008F6132" w:rsidRDefault="004A736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biên giới Việt Nam – Lào cho công dân Việt Nam làm việc trong các cơ quan, tổ chức, doanh nghiệp có trụ sở tại tỉnh có chung đường biên giới với Lào</w:t>
      </w:r>
    </w:p>
    <w:p w:rsidR="008F6132" w:rsidRDefault="004A736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F6132" w:rsidRDefault="004A736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F6132" w:rsidRDefault="004A736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8F6132" w:rsidRDefault="004A7364">
      <w:pPr>
        <w:spacing w:after="0" w:line="276" w:lineRule="auto"/>
        <w:jc w:val="both"/>
      </w:pPr>
      <w:r>
        <w:rPr>
          <w:rFonts w:ascii="Times New Roman" w:eastAsia="Times New Roman" w:hAnsi="Times New Roman" w:cs="Times New Roman"/>
          <w:b/>
          <w:sz w:val="26"/>
        </w:rPr>
        <w:t xml:space="preserve">Trình tự thực hiện: </w:t>
      </w:r>
    </w:p>
    <w:p w:rsidR="008F6132" w:rsidRDefault="008F6132">
      <w:pPr>
        <w:shd w:val="clear" w:color="auto" w:fill="F2F6F9"/>
        <w:spacing w:before="120" w:after="0" w:line="276" w:lineRule="auto"/>
        <w:jc w:val="both"/>
      </w:pPr>
    </w:p>
    <w:p w:rsidR="008F6132" w:rsidRDefault="004A7364">
      <w:pPr>
        <w:spacing w:after="0" w:line="276" w:lineRule="auto"/>
        <w:jc w:val="both"/>
      </w:pPr>
      <w:r>
        <w:rPr>
          <w:rFonts w:ascii="Times New Roman" w:eastAsia="Times New Roman" w:hAnsi="Times New Roman" w:cs="Times New Roman"/>
          <w:sz w:val="26"/>
        </w:rPr>
        <w:t xml:space="preserve">Bước 1: Chuẩn bị hồ sơ theo quy định của pháp luật. Bước 2: Nộp hồ sơ:  + Công dân Việt Nam không thường trú ở tỉnh có chung đường biên giới với Lào nhưng làm việc trong các cơ quan tổ chức, doanh nghiệp có trụ sở tại tỉnh có chung được biên giới với Lào trực tiếp nộp hồ sơ tại Cơ quan Quản lý xuất nhập cảnh Công an cấp tỉnh nơi cơ quan, tổ chức, doanh nghiệp người đó làm việc có trụ sở hoặc trên môi trường điện tử tại Cổng dịch vụ công quốc gia hoặc Cổng dịch vụ công Bộ Công an; xuất trình giấy chứng minh </w:t>
      </w:r>
      <w:r>
        <w:rPr>
          <w:rFonts w:ascii="Times New Roman" w:eastAsia="Times New Roman" w:hAnsi="Times New Roman" w:cs="Times New Roman"/>
          <w:sz w:val="26"/>
        </w:rPr>
        <w:t>nhân dân hoặc thẻ Căn cước công dân hoặc thẻ căn cước còn giá trị sử dụng để đối chiếu. Trường hợp doanh nghiệp được ủy quyền nộp hồ sơ đề nghị cấp giấy thông hành thì trước khi nộp hồ sơ doanh nghiệp đó phải gửi cho cơ quan cấp giấy thông hành 01 bộ hồ sơ pháp nhân (việc gửi hồ sơ chỉ thực hiện 01 lần, khi có sự thay đổi nội dung trong hồ sơ thì doanh nghiệp gửi văn bản bổ sung) gồm: 01 bản sao có chứng thực quyết định thành lập doanh nghiệp hoặc chứng nhận đăng ký doanh nghiệp, trường hợp nộp bản chụp thì</w:t>
      </w:r>
      <w:r>
        <w:rPr>
          <w:rFonts w:ascii="Times New Roman" w:eastAsia="Times New Roman" w:hAnsi="Times New Roman" w:cs="Times New Roman"/>
          <w:sz w:val="26"/>
        </w:rPr>
        <w:t xml:space="preserve"> xuất trình bản chính để kiểm tra, đối chiếu và văn bản giới thiệu mẫu con dấu, mẫu chữ ký của người đại diện theo pháp luật của doanh nghiệp. Người được cử đi nộp hồ sơ xuất trình giấy giới thiệu; giấy Chứng minh nhân dân hoặc thẻ Căn cước công dân hoặc thẻ căn cước còn giá trị sử dụng của bản thân và của người ủy quyền để kiểm tra, đối chiếu.  + Cán bộ tiếp nhận hồ sơ kiểm tra tính pháp lý và nội dung hồ sơ: + Trường hợp hồ sơ đầy đủ, hợp lệ thì cấp giấy hẹn trả kết quả; thu lệ phí và giao biên lai thu ti</w:t>
      </w:r>
      <w:r>
        <w:rPr>
          <w:rFonts w:ascii="Times New Roman" w:eastAsia="Times New Roman" w:hAnsi="Times New Roman" w:cs="Times New Roman"/>
          <w:sz w:val="26"/>
        </w:rPr>
        <w:t>ền cho người nộp hồ sơ hoặc hệ thống Cổng dịch vụ công thông báo bằng tin nhắn (SMS) hoặc thư điện tử (email) để người nộp hồ sơ thanh toán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w:t>
      </w:r>
      <w:r>
        <w:rPr>
          <w:rFonts w:ascii="Times New Roman" w:eastAsia="Times New Roman" w:hAnsi="Times New Roman" w:cs="Times New Roman"/>
          <w:sz w:val="26"/>
        </w:rPr>
        <w:t xml:space="preserve">ch vụ công và nêu rõ lý do. Người đề nghị cấp giấy thông hành có thể yêu cầu nhận kết quả tại địa điểm khác và phải trả phí dịch vụ chuyển phát.  + Thời gian nhận hồ sơ: từ thứ 2 đến sáng thứ 7 hàng tuần (trừ ngày Tết, ngày lễ).  Bước 3: Nhận kết quả  + Người nhận đưa giấy biên </w:t>
      </w:r>
      <w:r>
        <w:rPr>
          <w:rFonts w:ascii="Times New Roman" w:eastAsia="Times New Roman" w:hAnsi="Times New Roman" w:cs="Times New Roman"/>
          <w:sz w:val="26"/>
        </w:rPr>
        <w:lastRenderedPageBreak/>
        <w:t>nhận, xuất trình giấy Chứng minh nhân dân/thẻ Căn cước công dân/thẻ Căn cước cho cán bộ trả kết quả để đối chiếu, nếu đầy đủ và đúng người thì yêu cầu ký nhận và trả giấy thông hành biên giới Việt Nam – Lào cho người đến nhận kết quả</w:t>
      </w:r>
      <w:r>
        <w:rPr>
          <w:rFonts w:ascii="Times New Roman" w:eastAsia="Times New Roman" w:hAnsi="Times New Roman" w:cs="Times New Roman"/>
          <w:sz w:val="26"/>
        </w:rPr>
        <w:t>. + Trường hợp chưa cấp giấy thông hành phải trả lời bằng văn bản và nêu rõ lý do. + Thời gian nhận kết quả: từ thứ 2 đến thứ 6 hàng tuần (trừ ngày Tết, ngày lễ).</w:t>
      </w:r>
    </w:p>
    <w:p w:rsidR="008F6132" w:rsidRDefault="004A736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
        <w:gridCol w:w="818"/>
        <w:gridCol w:w="3145"/>
        <w:gridCol w:w="4733"/>
      </w:tblGrid>
      <w:tr w:rsidR="008F6132">
        <w:tblPrEx>
          <w:tblCellMar>
            <w:top w:w="0" w:type="dxa"/>
            <w:bottom w:w="0" w:type="dxa"/>
          </w:tblCellMar>
        </w:tblPrEx>
        <w:tc>
          <w:tcPr>
            <w:tcW w:w="15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Hình thức nộp</w:t>
            </w:r>
          </w:p>
        </w:tc>
        <w:tc>
          <w:tcPr>
            <w:tcW w:w="2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Phí, lệ phí</w:t>
            </w:r>
          </w:p>
        </w:tc>
        <w:tc>
          <w:tcPr>
            <w:tcW w:w="3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Mô tả</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Trực tiếp</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03 Ngày làm việc</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Lệ phí : 40.000 Đồng</w:t>
            </w:r>
            <w:r>
              <w:rPr>
                <w:rFonts w:ascii="Times New Roman" w:eastAsia="Times New Roman" w:hAnsi="Times New Roman" w:cs="Times New Roman"/>
                <w:sz w:val="26"/>
              </w:rPr>
              <w:t xml:space="preserve"> (40.000đ/giấy thông hành (áp dụng đến hết ngày 31/12/2024 theo Thông tư số 43/2024/TT-BTC của Bộ Tài chính).)</w:t>
            </w:r>
          </w:p>
          <w:p w:rsidR="008F6132" w:rsidRDefault="004A7364">
            <w:pPr>
              <w:spacing w:after="0" w:line="276" w:lineRule="auto"/>
            </w:pPr>
            <w:r>
              <w:rPr>
                <w:rFonts w:ascii="Times New Roman" w:eastAsia="Times New Roman" w:hAnsi="Times New Roman" w:cs="Times New Roman"/>
                <w:sz w:val="26"/>
              </w:rPr>
              <w:t>Lệ phí : 50.000 Đồng (50.000đ/giấy thông hành (Thông tư số 25/2021/TT-BTC ngày 07/4/2021 của Bộ Tài chính).)</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 Trực tiếp: nộp hồ sơ trực tiếp tại Cơ quan Quản lý xuất nhập cảnh Công an cấp tỉnh nơi cơ quan, tổ chức, doanh nghiệp người đó làm việc. + Ủy quyền: người đang làm việc trong các cơ quan, tổ chức, doanh nghiệp có tư cách pháp nhân có thể ủy quyền cho cơ quan, tổ chức, doanh nghiệp đó nộp hồ sơ và nhận kết quả thay.</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Trực tuyến</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03 Ngày làm việc</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Lệ phí : 40.000 Đồng</w:t>
            </w:r>
            <w:r>
              <w:rPr>
                <w:rFonts w:ascii="Times New Roman" w:eastAsia="Times New Roman" w:hAnsi="Times New Roman" w:cs="Times New Roman"/>
                <w:sz w:val="26"/>
              </w:rPr>
              <w:t xml:space="preserve"> (40.000đ/giấy thông hành (áp dụng đến hết ngày 31/12/2024 theo Thông tư số 43/2024/TT-BTC của Bộ Tài chính).)</w:t>
            </w:r>
          </w:p>
          <w:p w:rsidR="008F6132" w:rsidRDefault="004A7364">
            <w:pPr>
              <w:spacing w:after="0" w:line="276" w:lineRule="auto"/>
            </w:pPr>
            <w:r>
              <w:rPr>
                <w:rFonts w:ascii="Times New Roman" w:eastAsia="Times New Roman" w:hAnsi="Times New Roman" w:cs="Times New Roman"/>
                <w:sz w:val="26"/>
              </w:rPr>
              <w:t>Lệ phí : 50.000 Đồng (50.000đ/giấy thông hành (Thông tư số 25/2021/TT-BTC ngày 07/4/2021 của Bộ Tài chính).)</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w:t>
            </w:r>
          </w:p>
        </w:tc>
      </w:tr>
    </w:tbl>
    <w:p w:rsidR="008F6132" w:rsidRDefault="004A7364">
      <w:pPr>
        <w:spacing w:before="240" w:after="0" w:line="276" w:lineRule="auto"/>
        <w:jc w:val="both"/>
      </w:pPr>
      <w:r>
        <w:rPr>
          <w:rFonts w:ascii="Times New Roman" w:eastAsia="Times New Roman" w:hAnsi="Times New Roman" w:cs="Times New Roman"/>
          <w:b/>
          <w:sz w:val="26"/>
        </w:rPr>
        <w:t xml:space="preserve">Thành phần hồ sơ: </w:t>
      </w:r>
    </w:p>
    <w:p w:rsidR="008F6132" w:rsidRDefault="004A7364">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20"/>
        <w:gridCol w:w="1891"/>
        <w:gridCol w:w="1200"/>
      </w:tblGrid>
      <w:tr w:rsidR="008F6132">
        <w:tblPrEx>
          <w:tblCellMar>
            <w:top w:w="0" w:type="dxa"/>
            <w:bottom w:w="0" w:type="dxa"/>
          </w:tblCellMar>
        </w:tblPrEx>
        <w:tc>
          <w:tcPr>
            <w:tcW w:w="6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Tên giấy tờ</w:t>
            </w:r>
          </w:p>
        </w:tc>
        <w:tc>
          <w:tcPr>
            <w:tcW w:w="2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Mẫu đơn, tờ khai</w:t>
            </w:r>
          </w:p>
        </w:tc>
        <w:tc>
          <w:tcPr>
            <w:tcW w:w="2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Số lượng</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 Giấy thông hành đã được cấp, nếu còn giá trị sử dụng.</w:t>
            </w:r>
          </w:p>
        </w:tc>
        <w:tc>
          <w:tcPr>
            <w:tcW w:w="0" w:type="auto"/>
          </w:tcPr>
          <w:p w:rsidR="008F6132" w:rsidRDefault="008F6132"/>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 Giấy giới thiệu của cơ quan, tổ chức, doanh nghiệp đối với trường hơp ủy quyền nộp hồ sơ.</w:t>
            </w:r>
          </w:p>
        </w:tc>
        <w:tc>
          <w:tcPr>
            <w:tcW w:w="0" w:type="auto"/>
          </w:tcPr>
          <w:p w:rsidR="008F6132" w:rsidRDefault="008F6132"/>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02 ảnh 4x6cm mới chụp, mặt nhìn thẳng, đầu để trần, không đeo kính màu, phông nền trắng; trong đó 01 ảnh dán vào Tờ khai</w:t>
            </w:r>
          </w:p>
        </w:tc>
        <w:tc>
          <w:tcPr>
            <w:tcW w:w="0" w:type="auto"/>
          </w:tcPr>
          <w:p w:rsidR="008F6132" w:rsidRDefault="008F6132"/>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Mẫu M01a-ND67-2024.docx</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F6132" w:rsidRDefault="004A736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Doanh nghiệp có vốn đầu tư nước ngoài, Tổ chức (không bao gồm doanh nghiệp, HTX)</w:t>
      </w:r>
    </w:p>
    <w:p w:rsidR="008F6132" w:rsidRDefault="004A736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8F6132" w:rsidRDefault="004A736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8F6132" w:rsidRDefault="004A736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xuất nhập cảnh Công an tỉnh có chung đường biên giới với Lào.</w:t>
      </w:r>
    </w:p>
    <w:p w:rsidR="008F6132" w:rsidRDefault="004A736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F6132" w:rsidRDefault="004A736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F6132" w:rsidRDefault="004A736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biên giới Việt Nam – Lào</w:t>
      </w:r>
    </w:p>
    <w:p w:rsidR="008F6132" w:rsidRDefault="004A736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3"/>
        <w:gridCol w:w="6034"/>
        <w:gridCol w:w="731"/>
        <w:gridCol w:w="1003"/>
      </w:tblGrid>
      <w:tr w:rsidR="008F6132">
        <w:tblPrEx>
          <w:tblCellMar>
            <w:top w:w="0" w:type="dxa"/>
            <w:bottom w:w="0" w:type="dxa"/>
          </w:tblCellMar>
        </w:tblPrEx>
        <w:tc>
          <w:tcPr>
            <w:tcW w:w="2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Số ký hiệu</w:t>
            </w:r>
          </w:p>
        </w:tc>
        <w:tc>
          <w:tcPr>
            <w:tcW w:w="35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Trích yếu</w:t>
            </w:r>
          </w:p>
        </w:tc>
        <w:tc>
          <w:tcPr>
            <w:tcW w:w="15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Ngày ban hành</w:t>
            </w:r>
          </w:p>
        </w:tc>
        <w:tc>
          <w:tcPr>
            <w:tcW w:w="3000" w:type="dxa"/>
          </w:tcPr>
          <w:p w:rsidR="008F6132" w:rsidRDefault="008F6132"/>
          <w:p w:rsidR="008F6132" w:rsidRDefault="004A7364">
            <w:pPr>
              <w:spacing w:after="0" w:line="276" w:lineRule="auto"/>
              <w:jc w:val="center"/>
            </w:pPr>
            <w:r>
              <w:rPr>
                <w:rFonts w:ascii="Times New Roman" w:eastAsia="Times New Roman" w:hAnsi="Times New Roman" w:cs="Times New Roman"/>
                <w:b/>
                <w:sz w:val="26"/>
              </w:rPr>
              <w:t>Cơ quan ban hành</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lastRenderedPageBreak/>
              <w:t>76/2020/NĐ-CP</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lastRenderedPageBreak/>
              <w:t>Nghị định 76/2020/NĐ-CP</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lastRenderedPageBreak/>
              <w:t>01-07-2020</w:t>
            </w:r>
          </w:p>
        </w:tc>
        <w:tc>
          <w:tcPr>
            <w:tcW w:w="0" w:type="auto"/>
          </w:tcPr>
          <w:p w:rsidR="008F6132" w:rsidRDefault="008F6132"/>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49/2019/QH14</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Luật 49/2019/QH14</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22-11-2019</w:t>
            </w:r>
          </w:p>
        </w:tc>
        <w:tc>
          <w:tcPr>
            <w:tcW w:w="0" w:type="auto"/>
          </w:tcPr>
          <w:p w:rsidR="008F6132" w:rsidRDefault="008F6132"/>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25/2021/TT-BTC</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07-04-2021</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Bộ Tài chính</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23/2023/QH15</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24-06-2023</w:t>
            </w:r>
          </w:p>
        </w:tc>
        <w:tc>
          <w:tcPr>
            <w:tcW w:w="0" w:type="auto"/>
          </w:tcPr>
          <w:p w:rsidR="008F6132" w:rsidRDefault="008F6132"/>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43/2024/TT-BTC</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43/2024/TT-BTC</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28-06-2024</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Bộ Tài chính</w:t>
            </w:r>
          </w:p>
        </w:tc>
      </w:tr>
      <w:tr w:rsidR="008F6132">
        <w:tblPrEx>
          <w:tblCellMar>
            <w:top w:w="0" w:type="dxa"/>
            <w:bottom w:w="0" w:type="dxa"/>
          </w:tblCellMar>
        </w:tblPrEx>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67/2024/NĐ-CP</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25-06-2024</w:t>
            </w:r>
          </w:p>
        </w:tc>
        <w:tc>
          <w:tcPr>
            <w:tcW w:w="0" w:type="auto"/>
          </w:tcPr>
          <w:p w:rsidR="008F6132" w:rsidRDefault="008F6132"/>
          <w:p w:rsidR="008F6132" w:rsidRDefault="004A7364">
            <w:pPr>
              <w:spacing w:after="0" w:line="276" w:lineRule="auto"/>
            </w:pPr>
            <w:r>
              <w:rPr>
                <w:rFonts w:ascii="Times New Roman" w:eastAsia="Times New Roman" w:hAnsi="Times New Roman" w:cs="Times New Roman"/>
                <w:sz w:val="26"/>
              </w:rPr>
              <w:t>Chính phủ</w:t>
            </w:r>
          </w:p>
        </w:tc>
      </w:tr>
    </w:tbl>
    <w:p w:rsidR="008F6132" w:rsidRDefault="004A736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rsidR="008F6132" w:rsidRDefault="004A736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thông hành biên giới Việt Nam – Lào cho công dân Việt Nam làm việc trong các cơ quan, tổ chức, doanh nghiệp có trụ sở tại tỉnh có chung đường biên giới với Lào</w:t>
      </w:r>
    </w:p>
    <w:p w:rsidR="008F6132" w:rsidRDefault="004A736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https://thutuc.dichvucong.gov.vn/p/home/dvc-tthc-thu-tuc-hanh-chinh-chi-tiet.html?ma_thu_tuc=1874</w:t>
      </w:r>
    </w:p>
    <w:sectPr w:rsidR="008F613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F6132"/>
    <w:rsid w:val="004A7364"/>
    <w:rsid w:val="008F6132"/>
    <w:rsid w:val="00F62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5BDB48-B47D-4D8B-9ED7-D73AB387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2025-11-27T16:36:00Z</dcterms:created>
  <dcterms:modified xsi:type="dcterms:W3CDTF">2025-11-27T16:36:00Z</dcterms:modified>
</cp:coreProperties>
</file>