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sản xuất rượu thủ công nhằm mục đích kinh doanh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hết thời hạn hiệu lực</w:t>
      </w:r>
    </w:p>
    <w:p>
      <w:pPr>
        <w:spacing w:after="0" w:before="0" w:lineRule="auto" w:line="276"/>
        <w:jc w:val="both"/>
      </w:pPr>
      <w:r>
        <w:rPr>
          <w:rFonts w:ascii="Times New Roman" w:hAnsi="Times New Roman" w:cs="Times New Roman" w:eastAsia="Times New Roman"/>
          <w:b w:val="false"/>
          <w:sz w:val="26"/>
        </w:rPr>
        <w:t>Thương nhân phải nộp hồ sơ đề nghị cấp lại giấy phép trước thời hạn hết hiệu lực của giấy phép 30 ngày. Hồ sơ, thẩm quyền, thủ tục cấp lại  áp dụng như quy định đối với trường hợp cấp mới.</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giấy phép do bị mất hoặc bị hỏng</w:t>
      </w:r>
    </w:p>
    <w:p>
      <w:pPr>
        <w:spacing w:after="0" w:before="0" w:lineRule="auto" w:line="276"/>
        <w:jc w:val="both"/>
      </w:pPr>
      <w:r>
        <w:rPr>
          <w:rFonts w:ascii="Times New Roman" w:hAnsi="Times New Roman" w:cs="Times New Roman" w:eastAsia="Times New Roman"/>
          <w:b w:val="false"/>
          <w:sz w:val="26"/>
        </w:rPr>
        <w:t>- Thương nhân nộp hồ sơ trực tiếp hoặc qua đường bưu điện hoặc trực tuyến (nếu đủ điều kiện áp dụng) đến Ủy ban nhân dân cấp xã nơi thương nhân đặt cơ sở sản xuất. Hồ sơ bao gồm: Đơn đề nghị cấp lại theo Mẫu số 03 ban hành kèm theo Nghị định số 105/2017/NĐ-CP và bản gốc hoặc bản sao giấy phép đã cấp (nếu có);
- Trong thời hạn 07 ngày làm việc kể từ ngày nhận đủ hồ sơ hợp lệ, Ủy ban nhân dân cấp xã căn cứ vào hồ sơ đã lưu và hồ sơ đề nghị cấp lại của thương nhân  để xem xét và cấp lại giấy phép theo Mẫu số 07 ban hành kèm theo Nghị định số 105/2017/NĐ-CP. Thời hạn của giấy phép được giữ nguyên như cũ.
- Trường hợp chưa đủ hồ sơ hợp lệ, trong vòng 03 ngày làm việc kể từ ngày tiếp nhận hồ sơ, Ủy ban nhân dân cấp xã phải có văn bản yêu cầu bổ sung. Trường hợp từ chối cấp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hết thời hạn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cấp lại đối với trường hợp này áp dụng như quy định đối với trường hợp cấp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cấp lại giấy phép do bị mất hoặc bị hỏng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theo Mẫu số 03 ban hành tại Nghị định 17/2020/NĐ-CP và bản gốc hoặc bản sao giấy phép đã cấp (nếu có);</w:t>
            </w:r>
          </w:p>
        </w:tc>
        <w:tc>
          <w:p/>
          <w:p>
            <w:pPr>
              <w:spacing w:after="0" w:before="0" w:lineRule="auto" w:line="276"/>
              <w:jc w:val="left"/>
            </w:pPr>
            <w:r>
              <w:rPr>
                <w:rFonts w:ascii="Times New Roman" w:hAnsi="Times New Roman" w:cs="Times New Roman" w:eastAsia="Times New Roman"/>
                <w:b w:val="false"/>
                <w:sz w:val="26"/>
              </w:rPr>
              <w:t>MẪU SỐ 03 RƯỢU.docx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gốc hoặc bản sao giấy phép đã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rượu thủ công nhằm mục đích kinh doanh (cấp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có Giấy phép sản xuất rượu thủ công nhằm mục đích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2025-11-27T16:36:04Z</dcterms:created>
  <dc:creator>Apache POI</dc:creator>
</cp:coreProperties>
</file>