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8258/QĐ-BCA-QLXNC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thông hành biên giới Việt Nam – Lào cho công dân Việt Nam có hộ khẩu thường trú ở tỉnh có chung đường biên giới với Lào (thực hiện tại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 (được nêu cụ thể tại mục 2.3. Thành phần, số lượng hồ sơ)
Bước 2: Nộp hồ sơ: 
- Công dân Việt Nam thường trú tại tỉnh có chung đường biên giới với Lào đề nghị cấp giấy thông hành biên giới Việt Nam – Lào trực tiếp nộp hồ sơ tại Cơ quan Quản lý xuất nhập cảnh Công an tỉnh nơi thường trú hoặc trên môi trường điện tử tại Cổng Dịch vụ công quốc gia hoặc Cổng Dịch vụ công Bộ Công an; xuất trình giấy chứng minh nhân dân hoặc thẻ Căn cước công dân hoặc thẻ Căn cước còn giá trị sử dụng để đối chiếu.
Người mất năng lực hành vi dân sự, người có khó khăn trong nhận thức, làm chủ hành vi theo quy định của Bộ luật dân sự, người chưa đủ 14 tuổi thì tờ khai do người đại diện hợp pháp khai và ký tên.
	- Cán bộ tiếp nhận hồ sơ kiểm tra tính pháp lý và nội dung hồ sơ:
+ Trường hợp hồ sơ đầy đủ, hợp lệ thì cấp giấy hẹn trả kết quả; thu lệ phí và giao biên lai thu tiền cho người nộp hồ sơ hoặc hệ thống của Cổng dịch vụ công thông báo bằng tin nhắn (SMS) hoặc thư điện tử (email) để người nộp hồ sơ thanh toán trực tuyến và nhận biên lai điện tử. 
+ Trường hợp hồ sơ thiếu hoặc không hợp lệ thì cán bộ tiếp nhận hồ sơ hướng dẫn hoặc hệ thống của Cổng dịch vụ công thông báo bằng tin nhắn (SMS) hoặc thư điện tử (email) để người nộp hồ sơ hoàn chỉnh hồ sơ theo quy định.
+ Trường hợp hồ sơ không đủ điều kiện thì không tiếp nhận hồ sơ, trả lời bằng văn bản hoặc thông báo trên Cổng dịch vụ công và nêu rõ lý do.
	Người đề nghị cấp giấy thông hành có thể yêu cầu nhận kết quả tại địa điểm khác và phải trả phí dịch vụ chuyển phát. 
	+ Thời gian nhận hồ sơ: từ thứ 2 đến sáng thứ 7 hàng tuần (trừ ngày Tết, ngày lễ).
	Bước 3: Nhận kết quả
	+ Người nhận đưa giấy biên nhận, xuất trình giấy Chứng minh nhân dân/ thẻ Căn cước công dân/thẻ Căn cước cho cán bộ trả kết quả để đối chiếu, nếu đầy đủ và đúng người thì yêu cầu ký nhận và trả giấy thông hành biên giới Việt Nam – Lào cho người đến nhận kết quả.
	+ Trường hợp chưa cấp giấy thông hành phải trả lời bằng văn bản và nêu rõ lý do.
	+ Thời gian nhận kết quả: từ thứ 2 đến thứ 6 hàng tuần (trừ ngày Tết, ngày lễ).</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(50.000đ/giấy thông hành (Thông tư số 25/2021/TT-BTC ngày 07/4/2021 của Bộ Tài chính).)</w:t>
            </w:r>
          </w:p>
          <w:p>
            <w:pPr>
              <w:spacing w:after="0" w:before="0" w:lineRule="auto" w:line="276"/>
              <w:jc w:val="left"/>
            </w:pPr>
            <w:r>
              <w:rPr>
                <w:rFonts w:ascii="Times New Roman" w:hAnsi="Times New Roman" w:cs="Times New Roman" w:eastAsia="Times New Roman"/>
                <w:b w:val="false"/>
                <w:sz w:val="26"/>
              </w:rPr>
              <w:t>Lệ phí : 25.000 Đồng</w:t>
              <w:t xml:space="preserve"> (25.000.000đ/giấy thông hành (áp dụng đến hết ngày 31/12/2026 theo Thông tư số 64/2025/TT-BTC ngày 30/6/2025 của Bộ Tài chính).)</w:t>
            </w:r>
          </w:p>
        </w:tc>
        <w:tc>
          <w:p/>
          <w:p>
            <w:pPr>
              <w:spacing w:after="0" w:before="0" w:lineRule="auto" w:line="276"/>
              <w:jc w:val="left"/>
            </w:pPr>
            <w:r>
              <w:rPr>
                <w:rFonts w:ascii="Times New Roman" w:hAnsi="Times New Roman" w:cs="Times New Roman" w:eastAsia="Times New Roman"/>
                <w:b w:val="false"/>
                <w:sz w:val="26"/>
              </w:rPr>
              <w:t>+ Trực tiếp: nộp hồ sơ trực tiếp tại Cơ quan Quản lý xuất nhập cảnh Công an tỉnh nơi thường trú.
+ Thời hạn giải quyết: 03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(50.000đ/giấy thông hành (Thông tư số 25/2021/TT-BTC ngày 07/4/2021 của Bộ Tài chính).)</w:t>
            </w:r>
          </w:p>
          <w:p>
            <w:pPr>
              <w:spacing w:after="0" w:before="0" w:lineRule="auto" w:line="276"/>
              <w:jc w:val="left"/>
            </w:pPr>
            <w:r>
              <w:rPr>
                <w:rFonts w:ascii="Times New Roman" w:hAnsi="Times New Roman" w:cs="Times New Roman" w:eastAsia="Times New Roman"/>
                <w:b w:val="false"/>
                <w:sz w:val="26"/>
              </w:rPr>
              <w:t>Lệ phí : 25.000 Đồng</w:t>
              <w:t xml:space="preserve"> (25.000.000đ/giấy thông hành (áp dụng đến hết ngày 31/12/2026 theo Thông tư số 64/2025/TT-BTC ngày 30/6/2025 của Bộ Tài chính).)</w:t>
            </w:r>
          </w:p>
        </w:tc>
        <w:tc>
          <w:p/>
          <w:p>
            <w:pPr>
              <w:spacing w:after="0" w:before="0" w:lineRule="auto" w:line="276"/>
              <w:jc w:val="left"/>
            </w:pPr>
            <w:r>
              <w:rPr>
                <w:rFonts w:ascii="Times New Roman" w:hAnsi="Times New Roman" w:cs="Times New Roman" w:eastAsia="Times New Roman"/>
                <w:b w:val="false"/>
                <w:sz w:val="26"/>
              </w:rPr>
              <w:t>+ Trực tuyến: nộp hồ sơ trực tuyến qua Cổng Dịch vụ công quốc gia hoặc Cổng Dịch vụ công Bộ Công an.
+ Thời hạn giải quyết: 03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02 ảnh 4x6cm mới chụp, mặt nhìn thẳng, đầu để trần, không đeo kính màu, phông nền trắng; trong đó 01 ảnh dán vào Tờ khai</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giấy khai sinh hoặc trích lục ghi vào sổ hộ tịch việc khai sinh do cơ quan có thẩm quyền của Việt Nam cấp đối với người chưa đủ 14 tuổi chưa được cấp mã số định danh cá nhân; trường hợp nôp bản chụp thì xuất trình bản chính để kiểm tra,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bản sao có chứng thực giấy tờ do cơ quan có thẩm quyền của Việt Nam cấp chứng minh người đại diện theo pháp luật đối với người mất năng lực hành vi dân sự, người có khó khăn trong nhận thức, làm chủ hành vi theo quy định của Bộ luật Dân sự, người chưa đủ 14 tuổi; trường hợp nộp bản chụp thì xuất trình bản chính để kiểm tra,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thông hành đã được cấp nếu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khai đề nghị cấp giấy thông hành  (mẫu  M01a) ban hành kèm theo Nghị định số 67/2024/NĐ-CP ngày 25/6/2024 của Chính phủ; người chưa đủ 14 tuổi đề nghị cấp riêng giấy thông hành sử dụng tờ khai theo mẫu M01b ban hành kèm theo Nghị định số 184/2025/NĐ-CP ngày 01/7/2025 của Chính phủ. Trường hợp người mất năng lực hành vi dân sự, người có khó khăn trong nhận thức, làm chủ hành vi theo quy định của bộ luật dân sự, người chưa đủ 14 tuổi thì tờ khai do cha, mẹ, người đại diện hợp pháp khai và ký tên.</w:t>
            </w:r>
          </w:p>
        </w:tc>
        <w:tc>
          <w:p/>
          <w:p>
            <w:pPr>
              <w:spacing w:after="0" w:before="0" w:lineRule="auto" w:line="276"/>
              <w:jc w:val="left"/>
            </w:pPr>
            <w:r>
              <w:rPr>
                <w:rFonts w:ascii="Times New Roman" w:hAnsi="Times New Roman" w:cs="Times New Roman" w:eastAsia="Times New Roman"/>
                <w:b w:val="false"/>
                <w:sz w:val="26"/>
              </w:rPr>
              <w:t>m01a.pdf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Công an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Công an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Quản lý xuất nhập cảnh Công an tỉnh có chung đường biên giới với Lào.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thông hành biên giới Việt Nam – Lào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46/2005/TTLT/BQP-BKHĐT-BTC-BLĐTBXH</w:t>
            </w:r>
          </w:p>
        </w:tc>
        <w:tc>
          <w:p/>
          <w:p>
            <w:pPr>
              <w:spacing w:after="0" w:before="0" w:lineRule="auto" w:line="276"/>
              <w:jc w:val="left"/>
            </w:pPr>
            <w:r>
              <w:rPr>
                <w:rFonts w:ascii="Times New Roman" w:hAnsi="Times New Roman" w:cs="Times New Roman" w:eastAsia="Times New Roman"/>
                <w:b w:val="false"/>
                <w:sz w:val="26"/>
              </w:rPr>
              <w:t>Hướng dẫn một số điều của Nghị định số 184/2004/NĐ-CP ngày 02/11/2004 của Chính phủ quy định chi tiết thi hành Pháp lệnh Dân quân tự vệ</w:t>
            </w:r>
          </w:p>
        </w:tc>
        <w:tc>
          <w:p/>
          <w:p>
            <w:pPr>
              <w:spacing w:after="0" w:before="0" w:lineRule="auto" w:line="276"/>
              <w:jc w:val="left"/>
            </w:pPr>
            <w:r>
              <w:rPr>
                <w:rFonts w:ascii="Times New Roman" w:hAnsi="Times New Roman" w:cs="Times New Roman" w:eastAsia="Times New Roman"/>
                <w:b w:val="false"/>
                <w:sz w:val="26"/>
              </w:rPr>
              <w:t>20-04-2005</w:t>
            </w:r>
          </w:p>
        </w:tc>
        <w:tc>
          <w:p/>
          <w:p>
            <w:pPr>
              <w:spacing w:after="0" w:before="0" w:lineRule="auto" w:line="276"/>
              <w:jc w:val="left"/>
            </w:pPr>
            <w:r>
              <w:rPr>
                <w:rFonts w:ascii="Times New Roman" w:hAnsi="Times New Roman" w:cs="Times New Roman" w:eastAsia="Times New Roman"/>
                <w:b w:val="false"/>
                <w:sz w:val="26"/>
              </w:rPr>
              <w:t>Bộ Quốc phòng</w:t>
            </w:r>
          </w:p>
        </w:tc>
      </w:tr>
      <w:tr>
        <w:tc>
          <w:p/>
          <w:p>
            <w:pPr>
              <w:spacing w:after="0" w:before="0" w:lineRule="auto" w:line="276"/>
              <w:jc w:val="left"/>
            </w:pPr>
            <w:r>
              <w:rPr>
                <w:rFonts w:ascii="Times New Roman" w:hAnsi="Times New Roman" w:cs="Times New Roman" w:eastAsia="Times New Roman"/>
                <w:b w:val="false"/>
                <w:sz w:val="26"/>
              </w:rPr>
              <w:t>76/2020/NĐ-CP</w:t>
            </w:r>
          </w:p>
        </w:tc>
        <w:tc>
          <w:p/>
          <w:p>
            <w:pPr>
              <w:spacing w:after="0" w:before="0" w:lineRule="auto" w:line="276"/>
              <w:jc w:val="left"/>
            </w:pPr>
            <w:r>
              <w:rPr>
                <w:rFonts w:ascii="Times New Roman" w:hAnsi="Times New Roman" w:cs="Times New Roman" w:eastAsia="Times New Roman"/>
                <w:b w:val="false"/>
                <w:sz w:val="26"/>
              </w:rPr>
              <w:t>Nghị định 76/2020/NĐ-CP</w:t>
            </w:r>
          </w:p>
        </w:tc>
        <w:tc>
          <w:p/>
          <w:p>
            <w:pPr>
              <w:spacing w:after="0" w:before="0" w:lineRule="auto" w:line="276"/>
              <w:jc w:val="left"/>
            </w:pPr>
            <w:r>
              <w:rPr>
                <w:rFonts w:ascii="Times New Roman" w:hAnsi="Times New Roman" w:cs="Times New Roman" w:eastAsia="Times New Roman"/>
                <w:b w:val="false"/>
                <w:sz w:val="26"/>
              </w:rPr>
              <w:t>01-07-2020</w:t>
            </w:r>
          </w:p>
        </w:tc>
        <w:tc>
          <w:p/>
        </w:tc>
      </w:tr>
      <w:tr>
        <w:tc>
          <w:p/>
          <w:p>
            <w:pPr>
              <w:spacing w:after="0" w:before="0" w:lineRule="auto" w:line="276"/>
              <w:jc w:val="left"/>
            </w:pPr>
            <w:r>
              <w:rPr>
                <w:rFonts w:ascii="Times New Roman" w:hAnsi="Times New Roman" w:cs="Times New Roman" w:eastAsia="Times New Roman"/>
                <w:b w:val="false"/>
                <w:sz w:val="26"/>
              </w:rPr>
              <w:t>49/2019/QH14</w:t>
            </w:r>
          </w:p>
        </w:tc>
        <w:tc>
          <w:p/>
          <w:p>
            <w:pPr>
              <w:spacing w:after="0" w:before="0" w:lineRule="auto" w:line="276"/>
              <w:jc w:val="left"/>
            </w:pPr>
            <w:r>
              <w:rPr>
                <w:rFonts w:ascii="Times New Roman" w:hAnsi="Times New Roman" w:cs="Times New Roman" w:eastAsia="Times New Roman"/>
                <w:b w:val="false"/>
                <w:sz w:val="26"/>
              </w:rPr>
              <w:t>Luật 49/2019/QH14</w:t>
            </w:r>
          </w:p>
        </w:tc>
        <w:tc>
          <w:p/>
          <w:p>
            <w:pPr>
              <w:spacing w:after="0" w:before="0" w:lineRule="auto" w:line="276"/>
              <w:jc w:val="left"/>
            </w:pPr>
            <w:r>
              <w:rPr>
                <w:rFonts w:ascii="Times New Roman" w:hAnsi="Times New Roman" w:cs="Times New Roman" w:eastAsia="Times New Roman"/>
                <w:b w:val="false"/>
                <w:sz w:val="26"/>
              </w:rPr>
              <w:t>22-11-2019</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XUẤT CẢNH, NHẬP CẢNH, QUÁ CẢNH, CƯ TRÚ TẠI VIỆT NAM</w:t>
            </w:r>
          </w:p>
        </w:tc>
        <w:tc>
          <w:p/>
          <w:p>
            <w:pPr>
              <w:spacing w:after="0" w:before="0" w:lineRule="auto" w:line="276"/>
              <w:jc w:val="left"/>
            </w:pPr>
            <w:r>
              <w:rPr>
                <w:rFonts w:ascii="Times New Roman" w:hAnsi="Times New Roman" w:cs="Times New Roman" w:eastAsia="Times New Roman"/>
                <w:b w:val="false"/>
                <w:sz w:val="26"/>
              </w:rPr>
              <w:t>07-04-2021</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r>
        <w:tc>
          <w:p/>
          <w:p>
            <w:pPr>
              <w:spacing w:after="0" w:before="0" w:lineRule="auto" w:line="276"/>
              <w:jc w:val="left"/>
            </w:pPr>
            <w:r>
              <w:rPr>
                <w:rFonts w:ascii="Times New Roman" w:hAnsi="Times New Roman" w:cs="Times New Roman" w:eastAsia="Times New Roman"/>
                <w:b w:val="false"/>
                <w:sz w:val="26"/>
              </w:rPr>
              <w:t>43/2024/TT-BTC</w:t>
            </w:r>
          </w:p>
        </w:tc>
        <w:tc>
          <w:p/>
          <w:p>
            <w:pPr>
              <w:spacing w:after="0" w:before="0" w:lineRule="auto" w:line="276"/>
              <w:jc w:val="left"/>
            </w:pPr>
            <w:r>
              <w:rPr>
                <w:rFonts w:ascii="Times New Roman" w:hAnsi="Times New Roman" w:cs="Times New Roman" w:eastAsia="Times New Roman"/>
                <w:b w:val="false"/>
                <w:sz w:val="26"/>
              </w:rPr>
              <w:t>43/2024/TT-BTC</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67/2024/NĐ-CP</w:t>
            </w:r>
          </w:p>
        </w:tc>
        <w:tc>
          <w:p/>
          <w:p>
            <w:pPr>
              <w:spacing w:after="0" w:before="0" w:lineRule="auto" w:line="276"/>
              <w:jc w:val="left"/>
            </w:pPr>
            <w:r>
              <w:rPr>
                <w:rFonts w:ascii="Times New Roman" w:hAnsi="Times New Roman" w:cs="Times New Roman" w:eastAsia="Times New Roman"/>
                <w:b w:val="false"/>
                <w:sz w:val="26"/>
              </w:rPr>
              <w:t>Nghị định số 67/2024/NĐ-CP ngày 25/6/2024 của Chính phủ sửa đổi, bổ sung một số điều của Nghị định số 76/2020/NĐ-CP ngày 01/7/2020 của Chính phủ quy định chi tiết đối tượng, trình tự, thủ tục, thẩm quyền cấp, thu hồi, hủy giá trị sử dụng giấy thông hành và Nghị định số 77/2020/NĐ-CP ngày 01/7/2020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tc>
        <w:tc>
          <w:p/>
          <w:p>
            <w:pPr>
              <w:spacing w:after="0" w:before="0" w:lineRule="auto" w:line="276"/>
              <w:jc w:val="left"/>
            </w:pPr>
            <w:r>
              <w:rPr>
                <w:rFonts w:ascii="Times New Roman" w:hAnsi="Times New Roman" w:cs="Times New Roman" w:eastAsia="Times New Roman"/>
                <w:b w:val="false"/>
                <w:sz w:val="26"/>
              </w:rPr>
              <w:t>25-06-2024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r>
        <w:tc>
          <w:p/>
          <w:p>
            <w:pPr>
              <w:spacing w:after="0" w:before="0" w:lineRule="auto" w:line="276"/>
              <w:jc w:val="left"/>
            </w:pPr>
            <w:r>
              <w:rPr>
                <w:rFonts w:ascii="Times New Roman" w:hAnsi="Times New Roman" w:cs="Times New Roman" w:eastAsia="Times New Roman"/>
                <w:b w:val="false"/>
                <w:sz w:val="26"/>
              </w:rPr>
              <w:t>184/2025/NĐ-CP</w:t>
            </w:r>
          </w:p>
        </w:tc>
        <w:tc>
          <w:p/>
          <w:p>
            <w:pPr>
              <w:spacing w:after="0" w:before="0" w:lineRule="auto" w:line="276"/>
              <w:jc w:val="left"/>
            </w:pPr>
            <w:r>
              <w:rPr>
                <w:rFonts w:ascii="Times New Roman" w:hAnsi="Times New Roman" w:cs="Times New Roman" w:eastAsia="Times New Roman"/>
                <w:b w:val="false"/>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p/>
          <w:p>
            <w:pPr>
              <w:spacing w:after="0" w:before="0" w:lineRule="auto" w:line="276"/>
              <w:jc w:val="left"/>
            </w:pPr>
            <w:r>
              <w:rPr>
                <w:rFonts w:ascii="Times New Roman" w:hAnsi="Times New Roman" w:cs="Times New Roman" w:eastAsia="Times New Roman"/>
                <w:b w:val="false"/>
                <w:sz w:val="26"/>
              </w:rPr>
              <w:t>01-07-2025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thuộc các trường hợp chưa được cấp giấy tờ xuất nhập cảnh theo quy định tại Điều 21 Luật Xuất cảnh, nhập cảnh của công dân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giấy thông hành biên giới Việt Nam – Lào cho công dân Việt Nam tại Công an cấp tỉnh</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2025-11-27T16:36:06Z</dcterms:created>
  <dc:creator>Apache POI</dc:creator>
</cp:coreProperties>
</file>