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1117/QĐ-NHNN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điều chỉnh thông tin ngân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công nghệ thông tin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gian 10 ngày làm việc kể từ ngày có thay đổi thông tin ngân hàng các đơn vị ngân hàng Nhà nước, các tổ chức tín dụng, chi nhánh ngân hàng nước ngoài, Kho bạc Nhà nước, các tổ chức khác có hoạt động nghiệp vụ, trao đổi dữ liệu điện tử qua Ngân hàng nhà nước gửi 01 đề nghị điều chỉnh thông tin ngân hàng ngân hàng đến Ngân hàng Nhà nước (Cục Công nghệ thông tin).
+ Bước 2: Ngân hàng Nhà nước Việt Nam (Cục Công nghệ thông tin) phối hợp với các đơn vị liên quan xem xét, thẩm định hồ sơ nếu hợp lệ sẽ tiến hành điều chỉnh thông tin ngân hàng.
+ Bước 3: Ngân hàng Nhà nước Việt Nam (Cục Công nghệ thông tin) gửi kết quả cho đơn vị đề nghị và có Thông báo điện tử về việc điều chỉnh thông tin ngân hàng trên Cổng Dịch vụ công Ngân hàng Nhà nước. Trường hợp từ chối điều chỉnh thông tin ngân hàng, Cục Công nghệ thông tin thông báo lý do từ chối theo phương thức đơn vị gửi hồ sơ đề nghị.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Phương thức điện tử qua Hệ thống dịch vụ công;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Đề nghị điều chỉnh thông tin ngân hàng theo Phụ lục 03.</w:t>
            </w:r>
          </w:p>
        </w:tc>
        <w:tc>
          <w:p/>
          <w:p>
            <w:pPr>
              <w:spacing w:after="0" w:before="0" w:lineRule="auto" w:line="276"/>
              <w:jc w:val="left"/>
            </w:pPr>
            <w:r>
              <w:rPr>
                <w:rFonts w:ascii="Times New Roman" w:hAnsi="Times New Roman" w:cs="Times New Roman" w:eastAsia="Times New Roman"/>
                <w:b w:val="false"/>
                <w:sz w:val="26"/>
              </w:rPr>
              <w:t>Phụ lục số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Hệ thống dịch vụ công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điện tử về việc điều chỉnh thông tin ngân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17/2015/TT-NHNN</w:t>
            </w:r>
          </w:p>
        </w:tc>
        <w:tc>
          <w:p/>
          <w:p>
            <w:pPr>
              <w:spacing w:after="0" w:before="0" w:lineRule="auto" w:line="276"/>
              <w:jc w:val="left"/>
            </w:pPr>
            <w:r>
              <w:rPr>
                <w:rFonts w:ascii="Times New Roman" w:hAnsi="Times New Roman" w:cs="Times New Roman" w:eastAsia="Times New Roman"/>
                <w:b w:val="false"/>
                <w:sz w:val="26"/>
              </w:rPr>
              <w:t>Thông tư 17/2015/TT-NHNN</w:t>
            </w:r>
          </w:p>
        </w:tc>
        <w:tc>
          <w:p/>
          <w:p>
            <w:pPr>
              <w:spacing w:after="0" w:before="0" w:lineRule="auto" w:line="276"/>
              <w:jc w:val="left"/>
            </w:pPr>
            <w:r>
              <w:rPr>
                <w:rFonts w:ascii="Times New Roman" w:hAnsi="Times New Roman" w:cs="Times New Roman" w:eastAsia="Times New Roman"/>
                <w:b w:val="false"/>
                <w:sz w:val="26"/>
              </w:rPr>
              <w:t>21-10-2015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Thông tư 18/2023/TT-NHNN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17/2015/TT-NHNN ngày 21 tháng 10 năm 2015 của Thống đốc Ngân hàng Nhà nước Việt Nam quy định về hệ thống mã ngân hàng dùng trong hoạt động, nghiệp vụ ngân hàng</w:t>
            </w:r>
          </w:p>
        </w:tc>
        <w:tc>
          <w:p/>
          <w:p>
            <w:pPr>
              <w:spacing w:after="0" w:before="0" w:lineRule="auto" w:line="276"/>
              <w:jc w:val="left"/>
            </w:pPr>
            <w:r>
              <w:rPr>
                <w:rFonts w:ascii="Times New Roman" w:hAnsi="Times New Roman" w:cs="Times New Roman" w:eastAsia="Times New Roman"/>
                <w:b w:val="false"/>
                <w:sz w:val="26"/>
              </w:rPr>
              <w:t>28-12-2023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2025-11-27T16:36:13Z</dcterms:created>
  <dc:creator>Apache POI</dc:creator>
</cp:coreProperties>
</file>