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bảo hiểm y tế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phải có đơn đề nghị cấp lại thẻ bảo hiểm y tế có xác nhận của thủ trưởng cơ quan, đơn vị trực tiếp quản lý, nộp cho cơ quan tổ chức cán bộ thuộc các trường Công an; Công an, Cảnh sát phòng cháy và chữa cháy tỉnh, thành phố trực thuộc Trung ương; doanh nghiệp, đơn vị sự nghiệp công lập thuộc Bộ Công an.</w:t>
      </w:r>
    </w:p>
    <w:p>
      <w:pPr>
        <w:spacing w:after="0" w:before="0" w:lineRule="auto" w:line="276"/>
        <w:jc w:val="both"/>
      </w:pPr>
      <w:r>
        <w:rPr>
          <w:rFonts w:ascii="Times New Roman" w:hAnsi="Times New Roman" w:cs="Times New Roman" w:eastAsia="Times New Roman"/>
          <w:b w:val="false"/>
          <w:sz w:val="26"/>
        </w:rPr>
        <w:t>Bước 2: Sau khi tiếp nhận hồ sơ cấp lại thẻ bảo hiểm y tế do đơn vị trực tiếp quản lý chuyển đến, cơ quan tổ chức cán bộ thuộc các trường Công an; Công an, Cảnh sát phòng cháy và chữa cháy tỉnh, thành phố trực thuộc Trung ương; doanh nghiệp, đơn vị sự nghiệp công lập thuộc Bộ Công an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pPr>
        <w:spacing w:after="0" w:before="0" w:lineRule="auto" w:line="276"/>
        <w:jc w:val="both"/>
      </w:pPr>
      <w:r>
        <w:rPr>
          <w:rFonts w:ascii="Times New Roman" w:hAnsi="Times New Roman" w:cs="Times New Roman" w:eastAsia="Times New Roman"/>
          <w:b w:val="false"/>
          <w:sz w:val="26"/>
        </w:rPr>
        <w:t xml:space="preserve">Bước 3: Cơ quan tổ chức cán bộ thuộc các trường Công an; Công an, Cảnh sát phòng cháy và chữa cháy tỉnh, thành phố trực thuộc Trung ương; doanh nghiệp, đơn vị sự nghiệp công lập thuộc Bộ Công an có trách nhiệm lập hồ sơ đề nghị Bảo hiểm xã hội tỉnh cấp lại thẻ bảo hiểm y tế.
Bước 4: Bảo hiểm xã hội tỉnh có trách nhiệm cấp và chuyển thẻ bảo hiểm y tế về trường Công an; Công an, Cảnh sát phòng cháy và chữa cháy tỉnh, thành phố trực thuộc Trung ương; doanh nghiệp, đơn vị sự nghiệp công lập thuộc Bộ Công an để chuyển thẻ cho các đối tượng được cấp lại.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2000 Đồng</w:t>
              <w:t xml:space="preserve"> (phí đổi thẻ bảo hiểm y tế: 2.000 đồng/thẻ)</w:t>
            </w:r>
          </w:p>
        </w:tc>
        <w:tc>
          <w:p/>
          <w:p>
            <w:pPr>
              <w:spacing w:after="0" w:before="0" w:lineRule="auto" w:line="276"/>
              <w:jc w:val="left"/>
            </w:pPr>
            <w:r>
              <w:rPr>
                <w:rFonts w:ascii="Times New Roman" w:hAnsi="Times New Roman" w:cs="Times New Roman" w:eastAsia="Times New Roman"/>
                <w:b w:val="false"/>
                <w:sz w:val="26"/>
              </w:rPr>
              <w:t xml:space="preserve">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Thời hạn: trong thời hạn 07 ngày làm việc, kể từ ngày nhận được hồ sơ đề nghị cấp lại thẻ bảo hiểm y tế, Bảo hiểm xã hội tỉnh có trách nhiệm cấp lại thẻ bảo hiểm y tế và chuyển thẻ bảo hiểm y tế về các đơn vị trường Công an; Công an, Cảnh sát phòng cháy và chữa cháy tỉnh, thành phố trực thuộc Trung ương; doanh nghiệp, đơn vị sự nghiệp công lập thuộc Bộ Công an.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 Văn bản đề nghị cấp lại thẻ bảo hiểm y tế của các đơn vị trường Công an; Công an, Cảnh sát phòng cháy và chữa cháy tỉnh, thành phố trực thuộc Trung ương; doanh nghiệp, đơn vị sự nghiệp công lập thuộc Bộ Công an.</w:t>
            </w:r>
          </w:p>
        </w:tc>
        <w:tc>
          <w:p/>
          <w:p>
            <w:pPr>
              <w:spacing w:after="0" w:before="0" w:lineRule="auto" w:line="276"/>
              <w:jc w:val="left"/>
            </w:pPr>
            <w:r>
              <w:rPr>
                <w:rFonts w:ascii="Times New Roman" w:hAnsi="Times New Roman" w:cs="Times New Roman" w:eastAsia="Times New Roman"/>
                <w:b w:val="false"/>
                <w:sz w:val="26"/>
              </w:rPr>
              <w:t>Mau02-ĐN(BHYT).doc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lại thẻ bảo hiểm y tế;</w:t>
            </w:r>
          </w:p>
        </w:tc>
        <w:tc>
          <w:p/>
          <w:p>
            <w:pPr>
              <w:spacing w:after="0" w:before="0" w:lineRule="auto" w:line="276"/>
              <w:jc w:val="left"/>
            </w:pPr>
            <w:r>
              <w:rPr>
                <w:rFonts w:ascii="Times New Roman" w:hAnsi="Times New Roman" w:cs="Times New Roman" w:eastAsia="Times New Roman"/>
                <w:b w:val="false"/>
                <w:sz w:val="26"/>
              </w:rPr>
              <w:t>Mau01-ĐN(BHYT).doc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người lao động, học sinh, sinh viên và thân nhân sĩ quan, hạ sĩ quan, chiến sĩ trong Công an nhân dân tham gia bảo hiểm y tế;</w:t>
            </w:r>
          </w:p>
        </w:tc>
        <w:tc>
          <w:p/>
          <w:p>
            <w:pPr>
              <w:spacing w:after="0" w:before="0" w:lineRule="auto" w:line="276"/>
              <w:jc w:val="left"/>
            </w:pPr>
            <w:r>
              <w:rPr>
                <w:rFonts w:ascii="Times New Roman" w:hAnsi="Times New Roman" w:cs="Times New Roman" w:eastAsia="Times New Roman"/>
                <w:b w:val="false"/>
                <w:sz w:val="26"/>
              </w:rPr>
              <w:t>Mau01-DS(BHYT).doc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Danh sách người lao động đang tham gia bảo hiểm xã hội trong Công an nhân dân (nếu có);</w:t>
            </w:r>
          </w:p>
        </w:tc>
        <w:tc>
          <w:p/>
          <w:p>
            <w:pPr>
              <w:spacing w:after="0" w:before="0" w:lineRule="auto" w:line="276"/>
              <w:jc w:val="left"/>
            </w:pPr>
            <w:r>
              <w:rPr>
                <w:rFonts w:ascii="Times New Roman" w:hAnsi="Times New Roman" w:cs="Times New Roman" w:eastAsia="Times New Roman"/>
                <w:b w:val="false"/>
                <w:sz w:val="26"/>
              </w:rPr>
              <w:t>Mau02-DS(BHYT).doc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an, Bảo hiểm xã hội tỉnh, Công an Tỉnh, Cục Chính sách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an, Bảo hiểm xã hội tỉnh, Công an Tỉnh, Cục Chính sách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bảo hiểm y tế (BHYT)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19/2010/TT-BTC</w:t>
            </w:r>
          </w:p>
        </w:tc>
        <w:tc>
          <w:p/>
          <w:p>
            <w:pPr>
              <w:spacing w:after="0" w:before="0" w:lineRule="auto" w:line="276"/>
              <w:jc w:val="left"/>
            </w:pPr>
            <w:r>
              <w:rPr>
                <w:rFonts w:ascii="Times New Roman" w:hAnsi="Times New Roman" w:cs="Times New Roman" w:eastAsia="Times New Roman"/>
                <w:b w:val="false"/>
                <w:sz w:val="26"/>
              </w:rPr>
              <w:t>Về việc quy định mức thu, chế độ thu, nộp, quản lý và sử dụng phí cấp lại và đổi thẻ bảo hiểm y tế</w:t>
            </w:r>
          </w:p>
        </w:tc>
        <w:tc>
          <w:p/>
          <w:p>
            <w:pPr>
              <w:spacing w:after="0" w:before="0" w:lineRule="auto" w:line="276"/>
              <w:jc w:val="left"/>
            </w:pPr>
            <w:r>
              <w:rPr>
                <w:rFonts w:ascii="Times New Roman" w:hAnsi="Times New Roman" w:cs="Times New Roman" w:eastAsia="Times New Roman"/>
                <w:b w:val="false"/>
                <w:sz w:val="26"/>
              </w:rPr>
              <w:t>03-02-2010</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09/2015/TTLT-BCA-BYT-BTC</w:t>
            </w:r>
          </w:p>
        </w:tc>
        <w:tc>
          <w:p/>
          <w:p>
            <w:pPr>
              <w:spacing w:after="0" w:before="0" w:lineRule="auto" w:line="276"/>
              <w:jc w:val="left"/>
            </w:pPr>
            <w:r>
              <w:rPr>
                <w:rFonts w:ascii="Times New Roman" w:hAnsi="Times New Roman" w:cs="Times New Roman" w:eastAsia="Times New Roman"/>
                <w:b w:val="false"/>
                <w:sz w:val="26"/>
              </w:rPr>
              <w:t>Hướng dẫn thực hiện bảo hiểm y tế đối với người lao động, học sinh, sinh viên và thân nhân sĩ quan, hạ sĩ quan, chiến sĩ trong Công an nhân dân</w:t>
            </w:r>
          </w:p>
        </w:tc>
        <w:tc>
          <w:p/>
          <w:p>
            <w:pPr>
              <w:spacing w:after="0" w:before="0" w:lineRule="auto" w:line="276"/>
              <w:jc w:val="left"/>
            </w:pPr>
            <w:r>
              <w:rPr>
                <w:rFonts w:ascii="Times New Roman" w:hAnsi="Times New Roman" w:cs="Times New Roman" w:eastAsia="Times New Roman"/>
                <w:b w:val="false"/>
                <w:sz w:val="26"/>
              </w:rPr>
              <w:t>28-12-2015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
+ Người lao động làm việc theo hợp đồng không xác định thời hạn, hợp đồng có thời hạn từ đủ 3 tháng trở lên.
b) Đối tượng do ngân sách nhà nước đóng bảo hiểm y tế
+ Thân nhân sĩ quan, hạ sĩ quan đang công tác, hạ sĩ quan, chiến sĩ nghĩa vụ, học viên Công an nhân dân đang học tập tại các trường trong và ngoài Công an nhân dân hưởng sinh hoạt phí từ ngân sách nhà nước;
+ Học sinh trường văn hóa Công an nhân dân;
+ Sinh viên là người nước ngoài đang học tập tại trường Công an nhân dân, được cấp học bổng từ ngân sách nhà nước.
c) Đối tượng được ngân sách nhà nước hỗ trợ đóng bảo hiểm y tế là sinh viên hệ dân sự đang học tập tại các trường Công an nhân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2025-11-27T16:36:27Z</dcterms:created>
  <dc:creator>Apache POI</dc:creator>
</cp:coreProperties>
</file>