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hoạt động mua nợ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chi nhánh ngân hàng nước ngoài có nhu cầu được chấp thuận hoạt động mua nợ lập 01 (một) bộ hồ sơ theo quy định tại Điều 6 Thông tư này gửi qua đường bưu điện hoặc nộp trực tiếp cho Ngân hàng Nhà nước (Cục Quản lý, giám sát tổ chức tín dụng).</w:t>
      </w:r>
    </w:p>
    <w:p>
      <w:pPr>
        <w:spacing w:after="0" w:before="0" w:lineRule="auto" w:line="276"/>
        <w:jc w:val="both"/>
      </w:pPr>
      <w:r>
        <w:rPr>
          <w:rFonts w:ascii="Times New Roman" w:hAnsi="Times New Roman" w:cs="Times New Roman" w:eastAsia="Times New Roman"/>
          <w:b w:val="false"/>
          <w:sz w:val="26"/>
        </w:rPr>
        <w:t>Bước 2: Trong thời hạn 40 (bốn mươi) ngày kể từ ngày nhận đủ hồ sơ hợp lệ, Ngân hàng Nhà nước xem xét chấp thuận hoạt động mua nợ cho tổ chức tín dụng, chi nhánh ngân hàng nước ngoài bằng Quyết định sửa đổi, bổ sung Giấy phép. Trường hợp từ chối, Ngân hàng Nhà nước thông báo bằng văn bản cho tổ chức tín dụng, chi nhánh ngân hàng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40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hoạt động mua bợ theo mẫu tại Phụ lục số 01 ban hành kèm theo Thông tư 09/2015/TT-NHNN.</w:t>
            </w:r>
          </w:p>
        </w:tc>
        <w:tc>
          <w:p/>
          <w:p>
            <w:pPr>
              <w:spacing w:after="0" w:before="0" w:lineRule="auto" w:line="276"/>
              <w:jc w:val="left"/>
            </w:pPr>
            <w:r>
              <w:rPr>
                <w:rFonts w:ascii="Times New Roman" w:hAnsi="Times New Roman" w:cs="Times New Roman" w:eastAsia="Times New Roman"/>
                <w:b w:val="false"/>
                <w:sz w:val="26"/>
              </w:rPr>
              <w:t>Phuluc01.doc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 quản trị (Hội đồng thành viên) của tổ chức tín dụng thông qua việc đề nghị chấp thuận hoạt động mua nợ; văn bản và bản dịch của ngân hàng mẹ do người đại diện hợp pháp ký đồng ý đề nghị chấp thuận hoạt động mua nợ đối với chi nhánh ngân hàng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chấp thuận hoạt động mua nợ cho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09/2015/TT-NHNN </w:t>
            </w:r>
          </w:p>
        </w:tc>
        <w:tc>
          <w:p/>
          <w:p>
            <w:pPr>
              <w:spacing w:after="0" w:before="0" w:lineRule="auto" w:line="276"/>
              <w:jc w:val="left"/>
            </w:pPr>
            <w:r>
              <w:rPr>
                <w:rFonts w:ascii="Times New Roman" w:hAnsi="Times New Roman" w:cs="Times New Roman" w:eastAsia="Times New Roman"/>
                <w:b w:val="false"/>
                <w:sz w:val="26"/>
              </w:rPr>
              <w:t>Thông tư 09/2015/TT-NHNN</w:t>
            </w:r>
          </w:p>
        </w:tc>
        <w:tc>
          <w:p/>
          <w:p>
            <w:pPr>
              <w:spacing w:after="0" w:before="0" w:lineRule="auto" w:line="276"/>
              <w:jc w:val="left"/>
            </w:pPr>
            <w:r>
              <w:rPr>
                <w:rFonts w:ascii="Times New Roman" w:hAnsi="Times New Roman" w:cs="Times New Roman" w:eastAsia="Times New Roman"/>
                <w:b w:val="false"/>
                <w:sz w:val="26"/>
              </w:rPr>
              <w:t>17-07-2015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2025-11-27T16:36:47Z</dcterms:created>
  <dc:creator>Apache POI</dc:creator>
</cp:coreProperties>
</file>