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1.001316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2160/QĐ-NHNN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đóng tài khoản lưu ký giấy tờ có giá đối với Bảo hiểm tiền gửi Việt Nam, các tổ chức tín dụng, chi nhánh ngân hàng nước ngoài và các tổ chức khác theo quyết định của Thống đốc Ngân hàng Nhà nước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tiền tệ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Bảo hiểm tiền gửi Việt Nam, các tổ chức tín dụng, chi nhánh ngân hàng nước ngoài và các tổ chức khác theo quyết định của Thống đốc Ngân hàng Nhà nước khi không có nhu cầu lưu ký giấy tờ có giá tại Ngân hàng Nhà nước hoặc trước khi chấm dứt tồn tại do chia, tách, sáp nhập, hợp nhất, giải thể hoặc phá sản lập 01 bộ hồ sơ gửi Ngân hàng Nhà nước.
+ Bước 2: Ngân hàng Nhà nước thẩm định hồ sơ. Trong thời hạn 05 ngày làm việc kể từ ngày nhận đủ hồ sơ hợp lệ, Ngân hàng Nhà nước đóng tài khoản lưu ký giấy tờ có giá cho thành viên, đề nghị Tổng Công ty lưu ký và bù trừ chứng khoán Việt Nam (gọi tắt là VSDC) đóng Tài khoản giấy tờ có giá lưu ký tương ứng trên Tài khoản khách hàng của Ngân hàng Nhà nước tại VSDC và thông báo cho thành viên.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đóng tài khoản giấy tờ có giá theo Phụ lục 4/LK ban hành kèm theo Thông tư số 16/2022/TT-NHNN ngày 30/11/2022.</w:t>
            </w:r>
          </w:p>
        </w:tc>
        <w:tc>
          <w:p/>
          <w:p>
            <w:pPr>
              <w:spacing w:after="0" w:before="0" w:lineRule="auto" w:line="276"/>
              <w:jc w:val="left"/>
            </w:pPr>
            <w:r>
              <w:rPr>
                <w:rFonts w:ascii="Times New Roman" w:hAnsi="Times New Roman" w:cs="Times New Roman" w:eastAsia="Times New Roman"/>
                <w:b w:val="false"/>
                <w:sz w:val="26"/>
              </w:rPr>
              <w:t>Phụ lục 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NHNN 49 Lý Thái Tổ - Hoàn Kiếm -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đóng tài khoản lưu ký giấy tờ có giá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16/2022/TT-NHNN</w:t>
            </w:r>
          </w:p>
        </w:tc>
        <w:tc>
          <w:p/>
          <w:p>
            <w:pPr>
              <w:spacing w:after="0" w:before="0" w:lineRule="auto" w:line="276"/>
              <w:jc w:val="left"/>
            </w:pPr>
            <w:r>
              <w:rPr>
                <w:rFonts w:ascii="Times New Roman" w:hAnsi="Times New Roman" w:cs="Times New Roman" w:eastAsia="Times New Roman"/>
                <w:b w:val="false"/>
                <w:sz w:val="26"/>
              </w:rPr>
              <w:t>Thông tư 16/2022/TT-NHNN</w:t>
            </w:r>
          </w:p>
        </w:tc>
        <w:tc>
          <w:p/>
          <w:p>
            <w:pPr>
              <w:spacing w:after="0" w:before="0" w:lineRule="auto" w:line="276"/>
              <w:jc w:val="left"/>
            </w:pPr>
            <w:r>
              <w:rPr>
                <w:rFonts w:ascii="Times New Roman" w:hAnsi="Times New Roman" w:cs="Times New Roman" w:eastAsia="Times New Roman"/>
                <w:b w:val="false"/>
                <w:sz w:val="26"/>
              </w:rPr>
              <w:t>30-11-2022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https://thutuc.dichvucong.gov.vn/p/home/dvc-tthc-thu-tuc-hanh-chinh-chi-tiet.html?ma_thu_tuc=1959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2025-11-27T16:36:53Z</dcterms:created>
  <dc:creator>Apache POI</dc:creator>
</cp:coreProperties>
</file>