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mới, bổ sung thời hạn sử dụng, thu hồi tài khoản truy cập Cổng thông tin tờ khai hải quan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Đầu mối đăng ký của bên sử dụng thông tin gửi 01 bản chính văn bản đến Tổng cục Hải quan theo mẫu số 02 Phụ lục II Quy chế ban hành kèm Quyết định số 33/2016/QĐ-TTg  để đề nghị đăng ký mới hoặc bổ sung thời hạn sử dụng hoặc thu hồi tài khoản;</w:t>
      </w:r>
    </w:p>
    <w:p>
      <w:pPr>
        <w:spacing w:after="0" w:before="0" w:lineRule="auto" w:line="276"/>
        <w:jc w:val="both"/>
      </w:pPr>
      <w:r>
        <w:rPr>
          <w:rFonts w:ascii="Times New Roman" w:hAnsi="Times New Roman" w:cs="Times New Roman" w:eastAsia="Times New Roman"/>
          <w:b w:val="false"/>
          <w:sz w:val="26"/>
        </w:rPr>
        <w:t>Trong thời hạn không quá 02 ngày làm việc kể từ khi nhận được văn bản đề nghị, Tổng cục Hải quan thực hiện việc cấp tài khoản hoặc bổ sung thời hạn sử dụng của tài khoản hoặc thu hồi tài khoản và thông báo cho bên sử dụng thông tin các nội dung sau:
- Thông báo kết quả cho đầu mối đăng ký của bên sử dụng thông tin bằng văn bản, trường hợp không chấp nhận đăng ký tài khoản hoặc không bổ sung thời hạn sử dụng của tài khoản phải nêu rõ lý do;
- Đối với các tài khoản đăng ký mới: Thông báo thông tin tài khoản tới từng cá nhân đăng ký tài khoản bằng hình thức gửi thư điện tử hoặc gửi tin nhắn từ các địa chỉ, số điện thoại do Tổng cục Hải quan công bố chính thức.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gửi Tổng cục Hải quan theo Mẫu số 02 Phụ lục II Quy chế ban hành kèm Quyết định số 33/2016/QĐ-TTg  để đề nghị đăng ký mới hoặc bổ sung thời hạn sử dụng hoặc thu hồi tài khoản</w:t>
            </w:r>
          </w:p>
        </w:tc>
        <w:tc>
          <w:p/>
          <w:p>
            <w:pPr>
              <w:spacing w:after="0" w:before="0" w:lineRule="auto" w:line="276"/>
              <w:jc w:val="left"/>
            </w:pPr>
            <w:r>
              <w:rPr>
                <w:rFonts w:ascii="Times New Roman" w:hAnsi="Times New Roman" w:cs="Times New Roman" w:eastAsia="Times New Roman"/>
                <w:b w:val="false"/>
                <w:sz w:val="26"/>
              </w:rPr>
              <w:t>Mau so 02 Phu luc 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Hải quan - Bộ tài chính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Hải quan - Bộ tài chính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của Tổng cục Hải quan thông báo cho đầu mối đăng ký của bên sử dụng thông tin kết quả thực hiện việc cấp tài khoản hoặc bổ sung thời hạn sử dụng của tài khoản hoặc thu hồi tài khoản, Văn bản của Tổng cục Hải quan thông báo cho đầu mối đăng ký của bên sử dụng thông tin về việc chấp nhận hoặc không chấp nhận đề nghị của bên sử dụng thông tin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51/2005/QH11</w:t>
            </w:r>
          </w:p>
        </w:tc>
        <w:tc>
          <w:p/>
          <w:p>
            <w:pPr>
              <w:spacing w:after="0" w:before="0" w:lineRule="auto" w:line="276"/>
              <w:jc w:val="left"/>
            </w:pPr>
            <w:r>
              <w:rPr>
                <w:rFonts w:ascii="Times New Roman" w:hAnsi="Times New Roman" w:cs="Times New Roman" w:eastAsia="Times New Roman"/>
                <w:b w:val="false"/>
                <w:sz w:val="26"/>
              </w:rPr>
              <w:t>Luật 51/2005/QH11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33/2016/QĐ-TTg</w:t>
            </w:r>
          </w:p>
        </w:tc>
        <w:tc>
          <w:p/>
          <w:p>
            <w:pPr>
              <w:spacing w:after="0" w:before="0" w:lineRule="auto" w:line="276"/>
              <w:jc w:val="left"/>
            </w:pPr>
            <w:r>
              <w:rPr>
                <w:rFonts w:ascii="Times New Roman" w:hAnsi="Times New Roman" w:cs="Times New Roman" w:eastAsia="Times New Roman"/>
                <w:b w:val="false"/>
                <w:sz w:val="26"/>
              </w:rPr>
              <w:t>Quyết định 33/2016/QĐ-TTg - Ban hành Quy chế cung cấp, sử dụng thông tin tờ khai hải quan điện tử</w:t>
            </w:r>
          </w:p>
        </w:tc>
        <w:tc>
          <w:p/>
          <w:p>
            <w:pPr>
              <w:spacing w:after="0" w:before="0" w:lineRule="auto" w:line="276"/>
              <w:jc w:val="left"/>
            </w:pPr>
            <w:r>
              <w:rPr>
                <w:rFonts w:ascii="Times New Roman" w:hAnsi="Times New Roman" w:cs="Times New Roman" w:eastAsia="Times New Roman"/>
                <w:b w:val="false"/>
                <w:sz w:val="26"/>
              </w:rPr>
              <w:t>19-08-2016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2025-11-27T16:36:59Z</dcterms:created>
  <dc:creator>Apache POI</dc:creator>
</cp:coreProperties>
</file>