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1.001328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1762/QĐ-NHNN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mang vàng khi xuất cảnh định cư ở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 nhân Việt Nam được phép định cư ở nước ngoài có nhu cầu mang vàng khi xuất cảnh gửi hồ sơ trực tiếp hoặc qua đường bưu điện đến Ngân hàng Nhà nước Khu vực nơi cá nhân đó cư trú.</w:t>
      </w:r>
    </w:p>
    <w:p>
      <w:pPr>
        <w:spacing w:after="0" w:before="0" w:lineRule="auto" w:line="276"/>
        <w:jc w:val="both"/>
      </w:pPr>
      <w:r>
        <w:rPr>
          <w:rFonts w:ascii="Times New Roman" w:hAnsi="Times New Roman" w:cs="Times New Roman" w:eastAsia="Times New Roman"/>
          <w:b w:val="false"/>
          <w:sz w:val="26"/>
        </w:rPr>
        <w:t>Bước 2: Trong thời hạn 15 (mười lăm) ngày làm việc kể từ ngày nhận đủ hồ sơ hợp lệ, NHNN Khu vực xem xét cấp hoặc từ chối cấp Giấy phép mang vàng khi xuất cảnh định cư ở nước ngoài. Trong trường hợp từ chối, NHNN Khu vực có văn bản giải thích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(mười lăm)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(mười lăm)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xin cấp Giấy phép mang vàng khi xuất cảnh định cư ở nước ngoài (theo mẫu tại Phụ lục số 01 ban hành kèm theo Thông tư 11/2014/TT-NHNN)</w:t>
            </w:r>
          </w:p>
        </w:tc>
        <w:tc>
          <w:p/>
          <w:p>
            <w:pPr>
              <w:spacing w:after="0" w:before="0" w:lineRule="auto" w:line="276"/>
              <w:jc w:val="left"/>
            </w:pPr>
            <w:r>
              <w:rPr>
                <w:rFonts w:ascii="Times New Roman" w:hAnsi="Times New Roman" w:cs="Times New Roman" w:eastAsia="Times New Roman"/>
                <w:b w:val="false"/>
                <w:sz w:val="26"/>
              </w:rPr>
              <w:t>Phuluc01.doc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Hoá đơn mua hàng hoặc giấy tờ khác chứng minh nguồn gốc hợp pháp hoặc giấy cam đoan của cá nhân mang vàng về tính hợp pháp của lượng vàng cần mang đi trong trường hợp không có hóa đơn, giấy tờ chứng minh nguồn gốc.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hộ chiếu và bản sao thị thực nhập cảnh đối với những nước yêu cầu phải có thị thực nhập cảnh.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Quyết định của cơ quan có thẩm quyền cho phép định cư hoặc các giấy tờ khác có giá trị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được cấp từ sổ gốc hoặc bản sao có chứng thực hoặc bản sao kèm xuất trình bản chính để đối chiếu đối với các văn bản, tài liệu quy định tại điểm 2, 3, 4 nêu trên; nếu người nộp hồ sơ nộp bản sao kèm xuất trình bản chính để đối chiếu, người đối chiếu có trách nhiệm xác nhận tính chính xác của bản sao so với bản chính. Trường hợp văn bản, tài liệu bằng tiếng nước ngoài thì phải được dịch sang tiếng Việt và được công chứng hoặc chứng thực chữ ký của người dịch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mang vàng khi xuất cảnh định cư ở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11/2014/TT-NHNN</w:t>
            </w:r>
          </w:p>
        </w:tc>
        <w:tc>
          <w:p/>
          <w:p>
            <w:pPr>
              <w:spacing w:after="0" w:before="0" w:lineRule="auto" w:line="276"/>
              <w:jc w:val="left"/>
            </w:pPr>
            <w:r>
              <w:rPr>
                <w:rFonts w:ascii="Times New Roman" w:hAnsi="Times New Roman" w:cs="Times New Roman" w:eastAsia="Times New Roman"/>
                <w:b w:val="false"/>
                <w:sz w:val="26"/>
              </w:rPr>
              <w:t>Thông tư 11/2014/TT-NHNN</w:t>
            </w:r>
          </w:p>
        </w:tc>
        <w:tc>
          <w:p/>
          <w:p>
            <w:pPr>
              <w:spacing w:after="0" w:before="0" w:lineRule="auto" w:line="276"/>
              <w:jc w:val="left"/>
            </w:pPr>
            <w:r>
              <w:rPr>
                <w:rFonts w:ascii="Times New Roman" w:hAnsi="Times New Roman" w:cs="Times New Roman" w:eastAsia="Times New Roman"/>
                <w:b w:val="false"/>
                <w:sz w:val="26"/>
              </w:rPr>
              <w:t>28-03-2014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2025-11-27T16:37:02Z</dcterms:created>
  <dc:creator>Apache POI</dc:creator>
</cp:coreProperties>
</file>