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1681</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chuyển nhượng, cho, tặng xe ô tô, xe gắn máy đã tạm nhập khẩu miễn thuế</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Hải quan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Đối tượng nhập khẩu, tạm nhập khẩu xe ô tô, xe gắn máy không nhằm mục đích thương mại chuẩn bị hồ sơ (thành phần, số lượng hồ sơ quy định tại mục 3 dưới đây).</w:t>
      </w:r>
    </w:p>
    <w:p>
      <w:pPr>
        <w:spacing w:after="0" w:before="0" w:lineRule="auto" w:line="276"/>
        <w:jc w:val="both"/>
      </w:pPr>
      <w:r>
        <w:rPr>
          <w:rFonts w:ascii="Times New Roman" w:hAnsi="Times New Roman" w:cs="Times New Roman" w:eastAsia="Times New Roman"/>
          <w:b w:val="false"/>
          <w:sz w:val="26"/>
        </w:rPr>
        <w:t xml:space="preserve"> Bước 2: Chi cục Hải quan làm thủ tục chuyển nhượng xe kiểm tra đầy đủ, hợp lệ của hồ sơ và đối chiếu với quy định tại khoản 1 Điều này. Căn cứ các chứng từ quy định tại điểm d, đ và e khoản 2 Điều 8 Thông tư 143/2015/TT-BTC và đối chiếu với thực tế xe để thực hiện thủ tục chuyển nhượng.</w:t>
      </w:r>
    </w:p>
    <w:p>
      <w:pPr>
        <w:spacing w:after="0" w:before="0" w:lineRule="auto" w:line="276"/>
        <w:jc w:val="both"/>
      </w:pPr>
      <w:r>
        <w:rPr>
          <w:rFonts w:ascii="Times New Roman" w:hAnsi="Times New Roman" w:cs="Times New Roman" w:eastAsia="Times New Roman"/>
          <w:b w:val="false"/>
          <w:sz w:val="26"/>
        </w:rPr>
        <w:t>Bước 3: Chi cục Hải quan làm thủ tục chuyển nhượng xe trả 01 tờ khai hải quan hàng hóa nhập khẩu; 01 bản sao phiếu ghi kết quả kiểm tra cho đối tượng làm thủ tục chuyển nhượng.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w:t>
            </w:r>
          </w:p>
        </w:tc>
        <w:tc>
          <w:p/>
          <w:p>
            <w:pPr>
              <w:spacing w:after="0" w:before="0" w:lineRule="auto" w:line="276"/>
              <w:jc w:val="left"/>
            </w:pPr>
            <w:r>
              <w:rPr>
                <w:rFonts w:ascii="Times New Roman" w:hAnsi="Times New Roman" w:cs="Times New Roman" w:eastAsia="Times New Roman"/>
                <w:b w:val="false"/>
                <w:sz w:val="26"/>
              </w:rPr>
              <w:t>Lệ phí : 20.000  Đồng</w:t>
              <w:t xml:space="preserve"> (20.000 đ / tờ khai theo quy định tại Thông tư số 172/2010/TT-BTC ngày 02/11/2010 của BTC)</w:t>
            </w:r>
          </w:p>
        </w:tc>
        <w:tc>
          <w:p/>
          <w:p>
            <w:pPr>
              <w:spacing w:after="0" w:before="0" w:lineRule="auto" w:line="276"/>
              <w:jc w:val="left"/>
            </w:pPr>
            <w:r>
              <w:rPr>
                <w:rFonts w:ascii="Times New Roman" w:hAnsi="Times New Roman" w:cs="Times New Roman" w:eastAsia="Times New Roman"/>
                <w:b w:val="false"/>
                <w:sz w:val="26"/>
              </w:rPr>
              <w:t>	15 ngày</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hàng hóa nhập khẩu ban hành kèm theo Thông tư số 38/2015/TT-BTC ngày 25/03/2015 của Bộ Tài chính quy định về thủ tục hải quan; kiểm tra, giám sát hải quan; thuế xuất khẩu, thuế nhập khẩu và quản lý thuế đối với hàng hóa xuất khẩu, nhập khẩu;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thu hồi đăng ký, biển số xe ô tô, xe gắn máy do cơ quan Công an cấp: 01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mua bán xe giữa chủ xe và người nhận chuyển nhượng xe.</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ăn bản đề nghị chuyển nhượng xe (ghi cụ thể thông tin về xe, thông tin về tổ chức, cá nhân nhận chuyển nhượng): 01 bản chính có xác nhận của cơ quan chủ quản về thân phận của người đề nghị;</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xác nhận kết thúc thời hạn công tác Việt Nam của cơ quan chủ quản (đối với đối tượng quy định tại khoản 1, 2 và 3 Điều 2 Thông tư 143/2015/TT-BTC)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Tờ khai hàng hóa nhập khẩu, tạm nhập khẩu xe có “đóng dấu dùng cho tái xuất hoặc chuyển nhượng”: 01 bản chụp có xác nhận của Chi cục Hải quan làm thủ tục nhập khẩu, tạm nhập khẩu (đối với trường hợp nhập khẩu, tạm nhập khẩu xe thực hiện khai trên tờ khai hải quan giấy và cơ quan Hải quan chưa tra cứu được tờ khai nhập khẩu trên hệ thống).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Hải quan, Cục Hải quan tỉnh, thành phố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Hải quan tỉnh, thành phố</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Hải quan tỉnh, thành phố / Chi cục Hải quan tỉnh, thành phố</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Tờ khai thông quan hàng hóa nhập khẩu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54/2014/QH13</w:t>
            </w:r>
          </w:p>
        </w:tc>
        <w:tc>
          <w:p/>
          <w:p>
            <w:pPr>
              <w:spacing w:after="0" w:before="0" w:lineRule="auto" w:line="276"/>
              <w:jc w:val="left"/>
            </w:pPr>
            <w:r>
              <w:rPr>
                <w:rFonts w:ascii="Times New Roman" w:hAnsi="Times New Roman" w:cs="Times New Roman" w:eastAsia="Times New Roman"/>
                <w:b w:val="false"/>
                <w:sz w:val="26"/>
              </w:rPr>
              <w:t>Luật 54/2014/QH13</w:t>
            </w:r>
          </w:p>
        </w:tc>
        <w:tc>
          <w:p/>
          <w:p>
            <w:pPr>
              <w:spacing w:after="0" w:before="0" w:lineRule="auto" w:line="276"/>
              <w:jc w:val="left"/>
            </w:pPr>
            <w:r>
              <w:rPr>
                <w:rFonts w:ascii="Times New Roman" w:hAnsi="Times New Roman" w:cs="Times New Roman" w:eastAsia="Times New Roman"/>
                <w:b w:val="false"/>
                <w:sz w:val="26"/>
              </w:rPr>
              <w:t>23-06-2014</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08/2015/NĐ-CP</w:t>
            </w:r>
          </w:p>
        </w:tc>
        <w:tc>
          <w:p/>
          <w:p>
            <w:pPr>
              <w:spacing w:after="0" w:before="0" w:lineRule="auto" w:line="276"/>
              <w:jc w:val="left"/>
            </w:pPr>
            <w:r>
              <w:rPr>
                <w:rFonts w:ascii="Times New Roman" w:hAnsi="Times New Roman" w:cs="Times New Roman" w:eastAsia="Times New Roman"/>
                <w:b w:val="false"/>
                <w:sz w:val="26"/>
              </w:rPr>
              <w:t>Nghị định 08/2015/NĐ-CP</w:t>
            </w:r>
          </w:p>
        </w:tc>
        <w:tc>
          <w:p/>
          <w:p>
            <w:pPr>
              <w:spacing w:after="0" w:before="0" w:lineRule="auto" w:line="276"/>
              <w:jc w:val="left"/>
            </w:pPr>
            <w:r>
              <w:rPr>
                <w:rFonts w:ascii="Times New Roman" w:hAnsi="Times New Roman" w:cs="Times New Roman" w:eastAsia="Times New Roman"/>
                <w:b w:val="false"/>
                <w:sz w:val="26"/>
              </w:rPr>
              <w:t>21-01-2015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38/2015/TT-BTC</w:t>
            </w:r>
          </w:p>
        </w:tc>
        <w:tc>
          <w:p/>
          <w:p>
            <w:pPr>
              <w:spacing w:after="0" w:before="0" w:lineRule="auto" w:line="276"/>
              <w:jc w:val="left"/>
            </w:pPr>
            <w:r>
              <w:rPr>
                <w:rFonts w:ascii="Times New Roman" w:hAnsi="Times New Roman" w:cs="Times New Roman" w:eastAsia="Times New Roman"/>
                <w:b w:val="false"/>
                <w:sz w:val="26"/>
              </w:rPr>
              <w:t>Thông tư 38/2015/TT-BTC</w:t>
            </w:r>
          </w:p>
        </w:tc>
        <w:tc>
          <w:p/>
          <w:p>
            <w:pPr>
              <w:spacing w:after="0" w:before="0" w:lineRule="auto" w:line="276"/>
              <w:jc w:val="left"/>
            </w:pPr>
            <w:r>
              <w:rPr>
                <w:rFonts w:ascii="Times New Roman" w:hAnsi="Times New Roman" w:cs="Times New Roman" w:eastAsia="Times New Roman"/>
                <w:b w:val="false"/>
                <w:sz w:val="26"/>
              </w:rPr>
              <w:t>25-03-2015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04/2015/TT-BNNPTNT</w:t>
            </w:r>
          </w:p>
        </w:tc>
        <w:tc>
          <w:p/>
          <w:p>
            <w:pPr>
              <w:spacing w:after="0" w:before="0" w:lineRule="auto" w:line="276"/>
              <w:jc w:val="left"/>
            </w:pPr>
            <w:r>
              <w:rPr>
                <w:rFonts w:ascii="Times New Roman" w:hAnsi="Times New Roman" w:cs="Times New Roman" w:eastAsia="Times New Roman"/>
                <w:b w:val="false"/>
                <w:sz w:val="26"/>
              </w:rPr>
              <w:t>ướng dẫn thực hiện một số nội dung của Nghị định số 187/2013/NĐ-CP ngày 20/11/2013 của Chính phủ quy định chi tiết thi hành Luật Thương mại về hoạt động mua bán hàng hoá quốc tế và các hoạt động đại lý, mua, bán, gia công và quá cảnh hàng hoá với nước ngoài trong lĩnh vực nông nghiệp, lâm nghiệp va thủy sản</w:t>
            </w:r>
          </w:p>
        </w:tc>
        <w:tc>
          <w:p/>
          <w:p>
            <w:pPr>
              <w:spacing w:after="0" w:before="0" w:lineRule="auto" w:line="276"/>
              <w:jc w:val="left"/>
            </w:pPr>
            <w:r>
              <w:rPr>
                <w:rFonts w:ascii="Times New Roman" w:hAnsi="Times New Roman" w:cs="Times New Roman" w:eastAsia="Times New Roman"/>
                <w:b w:val="false"/>
                <w:sz w:val="26"/>
              </w:rPr>
              <w:t>12-02-2015</w:t>
            </w:r>
          </w:p>
        </w:tc>
        <w:tc>
          <w:p/>
          <w:p>
            <w:pPr>
              <w:spacing w:after="0" w:before="0" w:lineRule="auto" w:line="276"/>
              <w:jc w:val="left"/>
            </w:pPr>
            <w:r>
              <w:rPr>
                <w:rFonts w:ascii="Times New Roman" w:hAnsi="Times New Roman" w:cs="Times New Roman" w:eastAsia="Times New Roman"/>
                <w:b w:val="false"/>
                <w:sz w:val="26"/>
              </w:rPr>
              <w:t>Bộ Nông nghiệp và Môi trường</w:t>
            </w:r>
          </w:p>
        </w:tc>
      </w:tr>
      <w:tr>
        <w:tc>
          <w:p/>
          <w:p>
            <w:pPr>
              <w:spacing w:after="0" w:before="0" w:lineRule="auto" w:line="276"/>
              <w:jc w:val="left"/>
            </w:pPr>
            <w:r>
              <w:rPr>
                <w:rFonts w:ascii="Times New Roman" w:hAnsi="Times New Roman" w:cs="Times New Roman" w:eastAsia="Times New Roman"/>
                <w:b w:val="false"/>
                <w:sz w:val="26"/>
              </w:rPr>
              <w:t>143/2015/TT-BTC</w:t>
            </w:r>
          </w:p>
        </w:tc>
        <w:tc>
          <w:p/>
          <w:p>
            <w:pPr>
              <w:spacing w:after="0" w:before="0" w:lineRule="auto" w:line="276"/>
              <w:jc w:val="left"/>
            </w:pPr>
            <w:r>
              <w:rPr>
                <w:rFonts w:ascii="Times New Roman" w:hAnsi="Times New Roman" w:cs="Times New Roman" w:eastAsia="Times New Roman"/>
                <w:b w:val="false"/>
                <w:sz w:val="26"/>
              </w:rPr>
              <w:t>Thông tư 143/2015/TT-BTC</w:t>
            </w:r>
          </w:p>
        </w:tc>
        <w:tc>
          <w:p/>
          <w:p>
            <w:pPr>
              <w:spacing w:after="0" w:before="0" w:lineRule="auto" w:line="276"/>
              <w:jc w:val="left"/>
            </w:pPr>
            <w:r>
              <w:rPr>
                <w:rFonts w:ascii="Times New Roman" w:hAnsi="Times New Roman" w:cs="Times New Roman" w:eastAsia="Times New Roman"/>
                <w:b w:val="false"/>
                <w:sz w:val="26"/>
              </w:rPr>
              <w:t>11-09-2015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45/2022/TT-BTC</w:t>
            </w:r>
          </w:p>
        </w:tc>
        <w:tc>
          <w:p/>
          <w:p>
            <w:pPr>
              <w:spacing w:after="0" w:before="0" w:lineRule="auto" w:line="276"/>
              <w:jc w:val="left"/>
            </w:pPr>
            <w:r>
              <w:rPr>
                <w:rFonts w:ascii="Times New Roman" w:hAnsi="Times New Roman" w:cs="Times New Roman" w:eastAsia="Times New Roman"/>
                <w:b w:val="false"/>
                <w:sz w:val="26"/>
              </w:rPr>
              <w:t>Thông tư 45/2022/TT-BTC</w:t>
            </w:r>
          </w:p>
        </w:tc>
        <w:tc>
          <w:p/>
          <w:p>
            <w:pPr>
              <w:spacing w:after="0" w:before="0" w:lineRule="auto" w:line="276"/>
              <w:jc w:val="left"/>
            </w:pPr>
            <w:r>
              <w:rPr>
                <w:rFonts w:ascii="Times New Roman" w:hAnsi="Times New Roman" w:cs="Times New Roman" w:eastAsia="Times New Roman"/>
                <w:b w:val="false"/>
                <w:sz w:val="26"/>
              </w:rPr>
              <w:t>27-07-2022</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Đối tượng quy định tại khoản 1, 2 và 3 (đối với xe của cá nhân) Điều 2 Thông tư 143/2015/TT-BTC thực hiện thủ tục chuyển nhượng trong thời hạn ít nhất 30 (ba mươi) ngày trước khi kết thúc thời hạn công tác tại Việt Nam theo xác nhận của cơ quan chủ quản.
+ Đối tượng quy định tại khoản 3 (đối với xe cơ quan) và khoản 4 Điều 2 Thông tư 143/2015/TT-BTC thực hiện thủ tục chuyển nhượng trước khi chuyển giao xe cho đối tượng nhận chuyển nhượng.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2025-11-27T16:37:22Z</dcterms:created>
  <dc:creator>Apache POI</dc:creator>
</cp:coreProperties>
</file>