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1002/QĐ-BGTVT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thẩm định thiết kế phương tiện thủy nội địa và Giấy chứng nhận thẩm định thiết kế sản phẩm công nghiệp sử dụng cho phương tiện thủy nội địa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Nộp hồ sơ TTHC:</w:t>
      </w:r>
    </w:p>
    <w:p>
      <w:pPr>
        <w:spacing w:after="0" w:before="0" w:lineRule="auto" w:line="276"/>
        <w:jc w:val="both"/>
      </w:pPr>
      <w:r>
        <w:rPr>
          <w:rFonts w:ascii="Times New Roman" w:hAnsi="Times New Roman" w:cs="Times New Roman" w:eastAsia="Times New Roman"/>
          <w:b w:val="false"/>
          <w:sz w:val="26"/>
        </w:rPr>
        <w:t>- Tổ chức, cá nhân gửi hồ sơ đề nghị thẩm định hồ sơ thiết kế đến Cục Đăng kiểm Việt Nam hoặc Chi cục Đăng kiểm</w:t>
      </w:r>
    </w:p>
    <w:p>
      <w:pPr>
        <w:shd w:val="clear" w:color="auto" w:fill="F2F6F9"/>
        <w:spacing w:after="0" w:before="120" w:lineRule="auto" w:line="276"/>
        <w:jc w:val="both"/>
      </w:pPr>
      <w:r>
        <w:rPr>
          <w:rFonts w:ascii="Times New Roman" w:hAnsi="Times New Roman" w:cs="Times New Roman" w:eastAsia="Times New Roman"/>
          <w:b w:val="true"/>
          <w:sz w:val="26"/>
        </w:rPr>
        <w:t>Giải quyết TTHC:</w:t>
      </w:r>
    </w:p>
    <w:p>
      <w:pPr>
        <w:spacing w:after="0" w:before="0" w:lineRule="auto" w:line="276"/>
        <w:jc w:val="both"/>
      </w:pPr>
      <w:r>
        <w:rPr>
          <w:rFonts w:ascii="Times New Roman" w:hAnsi="Times New Roman" w:cs="Times New Roman" w:eastAsia="Times New Roman"/>
          <w:b w:val="false"/>
          <w:sz w:val="26"/>
        </w:rPr>
        <w:t>- Cục Đăng kiểm Việt Nam hoặc Chi cục Đăng kiểm tiếp nhận, kiểm tra hồ sơ; trường hợp hồ sơ không đầy đủ theo quy định thì hướng dẫn hoàn thiện ngay trong ngày làm việc (đối với trường hợp nộp trực tiếp) hoặc hướng dẫn hoàn thiện trong 02 (hai) ngày làm việc (đối với trường hợp nộp hồ sơ qua hệ thống bưu chính hoặc qua cổng dịch vụ công trực tuyến); nếu hồ sơ đầy đủ thì hẹn thời gian trả kết quả.</w:t>
      </w:r>
    </w:p>
    <w:p>
      <w:pPr>
        <w:spacing w:after="0" w:before="0" w:lineRule="auto" w:line="276"/>
        <w:jc w:val="both"/>
      </w:pPr>
      <w:r>
        <w:rPr>
          <w:rFonts w:ascii="Times New Roman" w:hAnsi="Times New Roman" w:cs="Times New Roman" w:eastAsia="Times New Roman"/>
          <w:b w:val="false"/>
          <w:sz w:val="26"/>
        </w:rPr>
        <w:t>- Kể từ ngày nhận đủ hồ sơ theo quy định, trong thời hạn 20 (hai mươi) ngày làm việc (đối với thiết kế loại phương tiện đóng bằng vật liệu mới, công dụng mới hoặc các phương tiện hoạt động tuyến vận tải đường thủy nội địa ven biển, từ bờ ra đảo, giữa các đảo; phương tiện chở khí hóa lỏng, chở xô hóa chất nguy hiểm; tàu dầu có nhiệt độ chớp cháy nhỏ hơn hoặc bằng 60oC, có trọng tải toàn phần từ 500 tấn trở lên; tàu cao tốc chở khách, tàu đệm khí; nhà hàng nổi, khách sạn nổi, tàu thủy lưu trú du lịch ngủ đêm, tàu chở khách có sức chở từ 100 khách trở lên) hoặc trong thời hạn 05 (năm) ngày làm việc (đối với thiết kế không phải là loại kể trên và tài liệu hướng dẫn), Cục Đăng kiểm Việt Nam hoặc Chi cục Đăng kiểm hoàn thành thẩm định hồ sơ thiết kế, tài liệu hướng dẫn, nếu đạt thì cấp giấy chứng nhận thẩm định thiết kế theo quy định, cấp thông báo thẩm định tài liệu hướng dẫn, thiết kế theo mẫu quy định (nếu có); nếu không đạt thì thông báo bằng văn bản cho tổ chức, cá nhân để khắc phục các tồn tại.</w:t>
      </w:r>
    </w:p>
    <w:p>
      <w:pPr>
        <w:spacing w:after="0" w:before="0" w:lineRule="auto" w:line="276"/>
        <w:jc w:val="both"/>
      </w:pPr>
      <w:r>
        <w:rPr>
          <w:rFonts w:ascii="Times New Roman" w:hAnsi="Times New Roman" w:cs="Times New Roman" w:eastAsia="Times New Roman"/>
          <w:b w:val="false"/>
          <w:sz w:val="26"/>
        </w:rPr>
        <w:t>- Trong thời hạn 02 (hai) ngày làm việc kể từ ngày nhận hồ sơ thiết kế đã khắc phục các tồn tại, nếu đạt thì cấp giấy chứng nhận thẩm định thiết kế; nếu không đạt thì trả lời cho tổ chức, cá nhân để khắc phục lại các tồn tại.</w:t>
      </w:r>
    </w:p>
    <w:p>
      <w:pPr>
        <w:spacing w:after="0" w:before="0" w:lineRule="auto" w:line="276"/>
        <w:jc w:val="both"/>
      </w:pPr>
      <w:r>
        <w:rPr>
          <w:rFonts w:ascii="Times New Roman" w:hAnsi="Times New Roman" w:cs="Times New Roman" w:eastAsia="Times New Roman"/>
          <w:b w:val="false"/>
          <w:sz w:val="26"/>
        </w:rPr>
        <w:t>- Tổ chức, cá nhân đề nghị thẩm định hồ sơ thiết kế, tài liệu hướng dẫn nộp giá dịch vụ, lệ phí theo quy định và nhận kết quả trực tiếp tại Cục Đăng kiểm Việt Nam hoặc Chi cục Đăng kiểm hoặc qua hệ thống bưu chính hoặc thông qua cổng dịch vụ công trực tuyến.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(Lệ phí: 50.000 đồng /01 giấy chứng nhận.)</w:t>
            </w:r>
          </w:p>
          <w:p>
            <w:pPr>
              <w:spacing w:after="0" w:before="0" w:lineRule="auto" w:line="276"/>
              <w:jc w:val="left"/>
            </w:pPr>
            <w:r>
              <w:rPr>
                <w:rFonts w:ascii="Times New Roman" w:hAnsi="Times New Roman" w:cs="Times New Roman" w:eastAsia="Times New Roman"/>
                <w:b w:val="false"/>
                <w:sz w:val="26"/>
              </w:rPr>
              <w:t>Mức giá :  Đồng</w:t>
              <w:t xml:space="preserve"> (Giá thẩm định thiết kế tính theo biểu giá ban hành kèm theo Thông tư số 237/2016/TT-BTC ngày 11/11/2016 của Bộ Tài chính về việc quy định về giá kiểm định an toàn kỹ thuật và chất lượng phương tiện thủy nội địa.)</w:t>
            </w:r>
          </w:p>
        </w:tc>
        <w:tc>
          <w:p/>
          <w:p>
            <w:pPr>
              <w:spacing w:after="0" w:before="0" w:lineRule="auto" w:line="276"/>
              <w:jc w:val="left"/>
            </w:pPr>
            <w:r>
              <w:rPr>
                <w:rFonts w:ascii="Times New Roman" w:hAnsi="Times New Roman" w:cs="Times New Roman" w:eastAsia="Times New Roman"/>
                <w:b w:val="false"/>
                <w:sz w:val="26"/>
              </w:rPr>
              <w:t>Đối với thiết kế loại phương tiện đóng bằng vật liệu mới, công dụng mới hoặc các phương tiện hoạt động tuyến vận tải đường thủy nội địa ven biển, từ bờ ra đảo, giữa các đảo; phương tiện chở khí hóa lỏng, chở xô hóa chất nguy hiểm; tàu dầu có nhiệt độ chớp cháy nhỏ hơn hoặc bằng 60oC, có trọng tải toàn phần từ 500 tấn trở lên; tàu cao tốc chở khách, tàu đệm khí; nhà hàng nổi, khách sạn nổi, tàu thủy lưu trú du lịch ngủ đêm, tàu chở khách có sức chở từ 100 khách trở lên: trong thời hạn 20 (hai mươi)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(Lệ phí: 50.000 đồng /01 giấy chứng nhận.)</w:t>
            </w:r>
          </w:p>
          <w:p>
            <w:pPr>
              <w:spacing w:after="0" w:before="0" w:lineRule="auto" w:line="276"/>
              <w:jc w:val="left"/>
            </w:pPr>
            <w:r>
              <w:rPr>
                <w:rFonts w:ascii="Times New Roman" w:hAnsi="Times New Roman" w:cs="Times New Roman" w:eastAsia="Times New Roman"/>
                <w:b w:val="false"/>
                <w:sz w:val="26"/>
              </w:rPr>
              <w:t>Mức giá :  Đồng</w:t>
              <w:t xml:space="preserve"> (Giá thẩm định thiết kế tính theo biểu giá ban hành kèm theo Thông tư số 237/2016/TT-BTC ngày 11/11/2016 của Bộ Tài chính về việc quy định về giá kiểm định an toàn kỹ thuật và chất lượng phương tiện thủy nội địa.)</w:t>
            </w:r>
          </w:p>
        </w:tc>
        <w:tc>
          <w:p/>
          <w:p>
            <w:pPr>
              <w:spacing w:after="0" w:before="0" w:lineRule="auto" w:line="276"/>
              <w:jc w:val="left"/>
            </w:pPr>
            <w:r>
              <w:rPr>
                <w:rFonts w:ascii="Times New Roman" w:hAnsi="Times New Roman" w:cs="Times New Roman" w:eastAsia="Times New Roman"/>
                <w:b w:val="false"/>
                <w:sz w:val="26"/>
              </w:rPr>
              <w:t>Đối với thiết kế không phải là loại kể trên và tài liệu hướng dẫn: trong thời hạn 05 (năm)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(Lệ phí: 50.000 đồng /01 giấy chứng nhận.)</w:t>
            </w:r>
          </w:p>
          <w:p>
            <w:pPr>
              <w:spacing w:after="0" w:before="0" w:lineRule="auto" w:line="276"/>
              <w:jc w:val="left"/>
            </w:pPr>
            <w:r>
              <w:rPr>
                <w:rFonts w:ascii="Times New Roman" w:hAnsi="Times New Roman" w:cs="Times New Roman" w:eastAsia="Times New Roman"/>
                <w:b w:val="false"/>
                <w:sz w:val="26"/>
              </w:rPr>
              <w:t>Mức giá :  Đồng</w:t>
              <w:t xml:space="preserve"> (Giá thẩm định thiết kế tính theo biểu giá ban hành kèm theo Thông tư số 237/2016/TT-BTC ngày 11/11/2016 của Bộ Tài chính về việc quy định về giá kiểm định an toàn kỹ thuật và chất lượng phương tiện thủy nội địa.)</w:t>
            </w:r>
          </w:p>
        </w:tc>
        <w:tc>
          <w:p/>
          <w:p>
            <w:pPr>
              <w:spacing w:after="0" w:before="0" w:lineRule="auto" w:line="276"/>
              <w:jc w:val="left"/>
            </w:pPr>
            <w:r>
              <w:rPr>
                <w:rFonts w:ascii="Times New Roman" w:hAnsi="Times New Roman" w:cs="Times New Roman" w:eastAsia="Times New Roman"/>
                <w:b w:val="false"/>
                <w:sz w:val="26"/>
              </w:rPr>
              <w:t>Đối với thiết kế loại phương tiện đóng bằng vật liệu mới, công dụng mới hoặc các phương tiện hoạt động tuyến vận tải đường thủy nội địa ven biển, từ bờ ra đảo, giữa các đảo; phương tiện chở khí hóa lỏng, chở xô hóa chất nguy hiểm; tàu dầu có nhiệt độ chớp cháy nhỏ hơn hoặc bằng 60oC, có trọng tải toàn phần từ 500 tấn trở lên; tàu cao tốc chở khách, tàu đệm khí; nhà hàng nổi, khách sạn nổi, tàu thủy lưu trú du lịch ngủ đêm, tàu chở khách có sức chở từ 100 khách trở lên: trong thời hạn 20 (hai mươi)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Mức giá :  Đồng</w:t>
              <w:t xml:space="preserve"> (Giá thẩm định thiết kế tính theo biểu giá ban hành kèm theo Thông tư số 237/2016/TT-BTC ngày 11/11/2016 của Bộ Tài chính về việc quy định về giá kiểm định an toàn kỹ thuật và chất lượng phương tiện thủy nội địa.)</w:t>
            </w:r>
          </w:p>
          <w:p>
            <w:pPr>
              <w:spacing w:after="0" w:before="0" w:lineRule="auto" w:line="276"/>
              <w:jc w:val="left"/>
            </w:pPr>
            <w:r>
              <w:rPr>
                <w:rFonts w:ascii="Times New Roman" w:hAnsi="Times New Roman" w:cs="Times New Roman" w:eastAsia="Times New Roman"/>
                <w:b w:val="false"/>
                <w:sz w:val="26"/>
              </w:rPr>
              <w:t>Lệ phí : 50.000 Đồng</w:t>
              <w:t xml:space="preserve"> (Lệ phí: 50.000 đồng /01 giấy chứng nhận.)</w:t>
            </w:r>
          </w:p>
        </w:tc>
        <w:tc>
          <w:p/>
          <w:p>
            <w:pPr>
              <w:spacing w:after="0" w:before="0" w:lineRule="auto" w:line="276"/>
              <w:jc w:val="left"/>
            </w:pPr>
            <w:r>
              <w:rPr>
                <w:rFonts w:ascii="Times New Roman" w:hAnsi="Times New Roman" w:cs="Times New Roman" w:eastAsia="Times New Roman"/>
                <w:b w:val="false"/>
                <w:sz w:val="26"/>
              </w:rPr>
              <w:t>Đối với thiết kế không phải là loại kể trên và tài liệu hướng dẫn: trong thời hạn 05 (năm)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(Lệ phí: 50.000 đồng /01 giấy chứng nhận.)</w:t>
            </w:r>
          </w:p>
          <w:p>
            <w:pPr>
              <w:spacing w:after="0" w:before="0" w:lineRule="auto" w:line="276"/>
              <w:jc w:val="left"/>
            </w:pPr>
            <w:r>
              <w:rPr>
                <w:rFonts w:ascii="Times New Roman" w:hAnsi="Times New Roman" w:cs="Times New Roman" w:eastAsia="Times New Roman"/>
                <w:b w:val="false"/>
                <w:sz w:val="26"/>
              </w:rPr>
              <w:t>Mức giá :  Đồng</w:t>
              <w:t xml:space="preserve"> (Giá thẩm định thiết kế tính theo biểu giá ban hành kèm theo Thông tư số 237/2016/TT-BTC ngày 11/11/2016 của Bộ Tài chính về việc quy định về giá kiểm định an toàn kỹ thuật và chất lượng phương tiện thủy nội địa.)</w:t>
            </w:r>
          </w:p>
        </w:tc>
        <w:tc>
          <w:p/>
          <w:p>
            <w:pPr>
              <w:spacing w:after="0" w:before="0" w:lineRule="auto" w:line="276"/>
              <w:jc w:val="left"/>
            </w:pPr>
            <w:r>
              <w:rPr>
                <w:rFonts w:ascii="Times New Roman" w:hAnsi="Times New Roman" w:cs="Times New Roman" w:eastAsia="Times New Roman"/>
                <w:b w:val="false"/>
                <w:sz w:val="26"/>
              </w:rPr>
              <w:t>Đối với thiết kế loại phương tiện đóng bằng vật liệu mới, công dụng mới hoặc các phương tiện hoạt động tuyến vận tải đường thủy nội địa ven biển, từ bờ ra đảo, giữa các đảo; phương tiện chở khí hóa lỏng, chở xô hóa chất nguy hiểm; tàu dầu có nhiệt độ chớp cháy nhỏ hơn hoặc bằng 60oC, có trọng tải toàn phần từ 500 tấn trở lên; tàu cao tốc chở khách, tàu đệm khí; nhà hàng nổi, khách sạn nổi, tàu thủy lưu trú du lịch ngủ đêm, tàu chở khách có sức chở từ 100 khách trở lên: trong thời hạn 20 (hai mươi)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(Lệ phí: 50.000 đồng /01 giấy chứng nhận.)</w:t>
            </w:r>
          </w:p>
          <w:p>
            <w:pPr>
              <w:spacing w:after="0" w:before="0" w:lineRule="auto" w:line="276"/>
              <w:jc w:val="left"/>
            </w:pPr>
            <w:r>
              <w:rPr>
                <w:rFonts w:ascii="Times New Roman" w:hAnsi="Times New Roman" w:cs="Times New Roman" w:eastAsia="Times New Roman"/>
                <w:b w:val="false"/>
                <w:sz w:val="26"/>
              </w:rPr>
              <w:t>Mức giá :  Đồng</w:t>
              <w:t xml:space="preserve"> (Giá thẩm định thiết kế tính theo biểu giá ban hành kèm theo Thông tư số 237/2016/TT-BTC ngày 11/11/2016 của Bộ Tài chính về việc quy định về giá kiểm định an toàn kỹ thuật và chất lượng phương tiện thủy nội địa.)</w:t>
            </w:r>
          </w:p>
        </w:tc>
        <w:tc>
          <w:p/>
          <w:p>
            <w:pPr>
              <w:spacing w:after="0" w:before="0" w:lineRule="auto" w:line="276"/>
              <w:jc w:val="left"/>
            </w:pPr>
            <w:r>
              <w:rPr>
                <w:rFonts w:ascii="Times New Roman" w:hAnsi="Times New Roman" w:cs="Times New Roman" w:eastAsia="Times New Roman"/>
                <w:b w:val="false"/>
                <w:sz w:val="26"/>
              </w:rPr>
              <w:t>Đối với thiết kế không phải là loại kể trên và tài liệu hướng dẫn: trong thời hạn 05 (năm)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Đối với sao và thẩm định mẫu định hình, hồ sơ bao gồm: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sử dụng mẫu định hình phương tiện thủy nội địa theo mẫu quy định (01 bản chính hoặc biểu mẫu điện tử).</w:t>
            </w:r>
          </w:p>
        </w:tc>
        <w:tc>
          <w:p/>
          <w:p>
            <w:pPr>
              <w:spacing w:after="0" w:before="0" w:lineRule="auto" w:line="276"/>
              <w:jc w:val="left"/>
            </w:pPr>
            <w:r>
              <w:rPr>
                <w:rFonts w:ascii="Times New Roman" w:hAnsi="Times New Roman" w:cs="Times New Roman" w:eastAsia="Times New Roman"/>
                <w:b w:val="false"/>
                <w:sz w:val="26"/>
              </w:rPr>
              <w:t>Mẫu.docx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thẩm định thiết kế chuyển đổi tàu biển thành phương tiện thủy nội địa, hồ sơ thiết kế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thẩm định thiết kế theo mẫu quy định (01 bản chính hoặc biểu mẫu điện tử);</w:t>
            </w:r>
          </w:p>
        </w:tc>
        <w:tc>
          <w:p/>
          <w:p>
            <w:pPr>
              <w:spacing w:after="0" w:before="0" w:lineRule="auto" w:line="276"/>
              <w:jc w:val="left"/>
            </w:pPr>
            <w:r>
              <w:rPr>
                <w:rFonts w:ascii="Times New Roman" w:hAnsi="Times New Roman" w:cs="Times New Roman" w:eastAsia="Times New Roman"/>
                <w:b w:val="false"/>
                <w:sz w:val="26"/>
              </w:rPr>
              <w:t>Mẫu.docx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sau: gồm bản tính, bản vẽ, thuyết minh và các tài liệu kỹ thuật (nếu có) theo quy định của quy chuẩn kỹ thuật, tiêu chuẩn kỹ thuật áp dụng cho phương tiện (01 bản sao điện tử có giá trị pháp lý (đối với trường hợp nộp thông qua hệ thống dịch vụ công trực tuyến) hoặc 03 bản chính (đối với trường hợp nộp trực tiếp hoặc qua hệ thống bưu chính hoặc hình thức phù hợp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thẩm định thiết kế mẫu định hình, hồ sơ thiết kế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thẩm định mẫu định hình phương tiện thủy nội địa theo mẫu quy định (01 bản chính hoặc biểu mẫu điện tử);</w:t>
            </w:r>
          </w:p>
        </w:tc>
        <w:tc>
          <w:p/>
          <w:p>
            <w:pPr>
              <w:spacing w:after="0" w:before="0" w:lineRule="auto" w:line="276"/>
              <w:jc w:val="left"/>
            </w:pPr>
            <w:r>
              <w:rPr>
                <w:rFonts w:ascii="Times New Roman" w:hAnsi="Times New Roman" w:cs="Times New Roman" w:eastAsia="Times New Roman"/>
                <w:b w:val="false"/>
                <w:sz w:val="26"/>
              </w:rPr>
              <w:t>Mẫu.docx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sau: bản tính, bản vẽ, thuyết minh theo quy định của quy chuẩn kỹ thuật, tiêu chuẩn kỹ thuật áp dụng cho phương tiện (01 bản sao điện tử có giá trị pháp lý đối với trường hợp nộp thông qua hệ thống dịch vụ công trực tuyến; hoặc 03 bản chính đối với trường hợp nộp trực tiếp hoặc qua hệ thống bưu chính hoặc hình thức phù hợp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thẩm định thiết kế phương tiện nhập khẩu, hồ sơ thiết kế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thẩm định thiết kế theo mẫu quy định (01 bản chính hoặc biểu mẫu điện tử);</w:t>
            </w:r>
          </w:p>
        </w:tc>
        <w:tc>
          <w:p/>
          <w:p>
            <w:pPr>
              <w:spacing w:after="0" w:before="0" w:lineRule="auto" w:line="276"/>
              <w:jc w:val="left"/>
            </w:pPr>
            <w:r>
              <w:rPr>
                <w:rFonts w:ascii="Times New Roman" w:hAnsi="Times New Roman" w:cs="Times New Roman" w:eastAsia="Times New Roman"/>
                <w:b w:val="false"/>
                <w:sz w:val="26"/>
              </w:rPr>
              <w:t>Mẫu.docx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sau: bản tính, bản vẽ, thuyết minh và các tài liệu kỹ thuật (nếu có) theo quy định của quy chuẩn kỹ thuật, tiêu chuẩn kỹ thuật áp dụng cho phương tiện và các tài liệu kỹ thuật của tổ chức nước ngoài cấp cho phương tiện (nếu có) (01 bản sao điện tử có giá trị pháp lý đối với trường hợp nộp thông qua hệ thống dịch vụ công trực tuyến; hoặc 03 bản chính đối với trường hợp nộp trực tiếp hoặc qua hệ thống bưu chính hoặc hình thức phù hợp khác). Các thuyết minh và bản tính của hồ sơ thiết kế phải sử dụng ngôn ngữ là tiếng Việt hoặc tiếng Anh có kèm theo bản dịch bằng tiếng Việt, các bản vẽ có thể sử dụng ngôn ngữ là tiếng Việt hoặc tiếng Anh;</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Hồ sơ xác định tuổi của phương tiện (Bản sao có chứng thực hoặc bản sao điện tử có giá trị pháp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Tờ khai hàng hóa nhập khẩu của tổ chức, cá nhân nhập khẩu đối với trường hợp phương tiện đã nhập khẩu về Việt Nam (Bản sao có chứng thực hoặc bản sao điện tử có giá trị pháp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thẩm định thiết kế sản phẩm công nghiệp, hồ sơ thiết kế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Trường hợp sản phẩm công nghiệp nhập khẩu, hồ sơ nộp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sản phẩm công nghiệp được sản xuất, chế tạo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thẩm định thiết kế theo mẫu quy định (01 bản chính hoặc biểu mẫu điện tử);</w:t>
            </w:r>
          </w:p>
        </w:tc>
        <w:tc>
          <w:p/>
          <w:p>
            <w:pPr>
              <w:spacing w:after="0" w:before="0" w:lineRule="auto" w:line="276"/>
              <w:jc w:val="left"/>
            </w:pPr>
            <w:r>
              <w:rPr>
                <w:rFonts w:ascii="Times New Roman" w:hAnsi="Times New Roman" w:cs="Times New Roman" w:eastAsia="Times New Roman"/>
                <w:b w:val="false"/>
                <w:sz w:val="26"/>
              </w:rPr>
              <w:t>Mẫu.docx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sau: bản tính, bản vẽ, thuyết minh và các tài liệu kỹ thuật (nếu có) theo quy định của quy chuẩn kỹ thuật, tiêu chuẩn kỹ thuật áp dụng cho sản phẩm (01 bản sao điện tử có giá trị pháp lý đối với trường hợp nộp thông qua hệ thống dịch vụ công trực tuyến; hoặc 03 bản chính đối với trường hợp nộp trực tiếp hoặc qua hệ thống bưu chính hoặc hình thức phù hợp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Trường hợp sản phẩm công nghiệp nhập khẩu, thiết kế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thẩm định thiết kế theo mẫu quy định (01 bản chính hoặc biểu mẫu điện tử);</w:t>
            </w:r>
          </w:p>
        </w:tc>
        <w:tc>
          <w:p/>
          <w:p>
            <w:pPr>
              <w:spacing w:after="0" w:before="0" w:lineRule="auto" w:line="276"/>
              <w:jc w:val="left"/>
            </w:pPr>
            <w:r>
              <w:rPr>
                <w:rFonts w:ascii="Times New Roman" w:hAnsi="Times New Roman" w:cs="Times New Roman" w:eastAsia="Times New Roman"/>
                <w:b w:val="false"/>
                <w:sz w:val="26"/>
              </w:rPr>
              <w:t>Mẫu.docx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sau: bản tính, bản vẽ, thuyết minh và các tài liệu kỹ thuật nước ngoài cấp cho phương tiện (nếu có) theo quy định của quy chuẩn kỹ thuật, tiêu chuẩn kỹ thuật áp dụng cho sản phẩm (01 bản sao điện tử có giá trị pháp lý đối với trường hợp nộp thông qua hệ thống dịch vụ công trực tuyến; hoặc 03 bản chính đối với trường hợp nộp trực tiếp hoặc qua hệ thống bưu chính hoặc hình thức phù hợp khác). Các thuyết minh và bản tính của hồ sơ thiết kế phải sử dụng ngôn ngữ là tiếng Việt hoặc tiếng Anh có kèm theo bản dịch bằng tiếng Việt, các bản vẽ có thể sử dụng ngôn ngữ là tiếng Việt hoặc tiếng Anh; tờ khai hàng hóa nhập khẩu của tổ chức, cá nhân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thẩm định thiết kế đóng mới, hoán cải, sửa đổi, lập hồ sơ, hồ sơ thiết kế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thẩm định thiết kế theo mẫu quy định (01 bản chính hoặc biểu mẫu điện tử)</w:t>
            </w:r>
          </w:p>
        </w:tc>
        <w:tc>
          <w:p/>
          <w:p>
            <w:pPr>
              <w:spacing w:after="0" w:before="0" w:lineRule="auto" w:line="276"/>
              <w:jc w:val="left"/>
            </w:pPr>
            <w:r>
              <w:rPr>
                <w:rFonts w:ascii="Times New Roman" w:hAnsi="Times New Roman" w:cs="Times New Roman" w:eastAsia="Times New Roman"/>
                <w:b w:val="false"/>
                <w:sz w:val="26"/>
              </w:rPr>
              <w:t>Mẫu.docx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sau: bản tính, bản vẽ, thuyết minh và các tài liệu kỹ thuật (nếu có) theo quy định của quy chuẩn kỹ thuật, tiêu chuẩn kỹ thuật áp dụng cho phương tiện (01 bản sao điện tử có giá trị pháp lý đối với trường hợp nộp thông qua hệ thống dịch vụ công trực tuyến; hoặc 03 bản chính (đối với trường hợp nộp trực tiếp hoặc qua hệ thống bưu chính hoặc hình thức phù hợp khác). Đối với hồ sơ thiết kế do đơn vị thiết kế nước ngoài thiết kế hoặc chủ phương tiện là người nước ngoài hoặc thiết kế phương tiện đóng ở Việt Nam để xuất khẩu thì ngôn ngữ sử dụng trong thuyết minh, bản tính là tiếng Việt hoặc tiếng Anh có kèm theo bản dịch bằng tiếng Việt, ngôn ngữ sử dụng trong bản vẽ là tiếng Việt hoặc tiếng Anh;</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Hợp đồng đóng mới phương tiện hoặc các giấy tờ chứng minh phương tiện là tài sản hợp pháp của chủ phương tiện và chịu trách nhiệm trước pháp luật về tính hợp pháp của tài sản đó (đối với thiết kế lập hồ sơ của phương tiện đã đóng trong nước mà không có sự giám sát của đăng kiểm) (Bản sao có chứng thực hoặc bản sao điện tử có giá trị pháp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thẩm định tài liệu hướng dẫn, hồ sơ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thẩm định tài liệu hướng dẫn theo mẫu quy định (01 bản chính hoặc biểu mẫu điện tử);</w:t>
            </w:r>
          </w:p>
        </w:tc>
        <w:tc>
          <w:p/>
          <w:p>
            <w:pPr>
              <w:spacing w:after="0" w:before="0" w:lineRule="auto" w:line="276"/>
              <w:jc w:val="left"/>
            </w:pPr>
            <w:r>
              <w:rPr>
                <w:rFonts w:ascii="Times New Roman" w:hAnsi="Times New Roman" w:cs="Times New Roman" w:eastAsia="Times New Roman"/>
                <w:b w:val="false"/>
                <w:sz w:val="26"/>
              </w:rPr>
              <w:t>Mẫu.docx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hướng dẫn (01 bản sao điện tử có giá trị pháp lý đối với trường hợp nộp thông qua hệ thống dịch vụ công trực tuyến; hoặc 03 bản chính đối với trường hợp nộp trực tiếp hoặc qua hệ thống bưu chính hoặc hình thức phù hợp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Đăng kiểm Việt Nam, Chi cục Đăng kiểm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Đăng kiểm Việt Nam, Chi cục Đăng kiểm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thẩm định thiết kế phương tiện thủy nội địa, Giấy chứng nhận thẩm định thiết kế sản phẩm công nghiệp sử dụng cho phương tiện thủy nội địa, Thông báo thẩm định tài liệu hướng dẫn/thiết kế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48/2015/TT-BGTVT</w:t>
            </w:r>
          </w:p>
        </w:tc>
        <w:tc>
          <w:p/>
          <w:p>
            <w:pPr>
              <w:spacing w:after="0" w:before="0" w:lineRule="auto" w:line="276"/>
              <w:jc w:val="left"/>
            </w:pPr>
            <w:r>
              <w:rPr>
                <w:rFonts w:ascii="Times New Roman" w:hAnsi="Times New Roman" w:cs="Times New Roman" w:eastAsia="Times New Roman"/>
                <w:b w:val="false"/>
                <w:sz w:val="26"/>
              </w:rPr>
              <w:t>Quy định về đăng kiểm phương tiện thủy nội địa</w:t>
            </w:r>
          </w:p>
        </w:tc>
        <w:tc>
          <w:p/>
          <w:p>
            <w:pPr>
              <w:spacing w:after="0" w:before="0" w:lineRule="auto" w:line="276"/>
              <w:jc w:val="left"/>
            </w:pPr>
            <w:r>
              <w:rPr>
                <w:rFonts w:ascii="Times New Roman" w:hAnsi="Times New Roman" w:cs="Times New Roman" w:eastAsia="Times New Roman"/>
                <w:b w:val="false"/>
                <w:sz w:val="26"/>
              </w:rPr>
              <w:t>22-09-2015</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199/2016/TT-BTC</w:t>
            </w:r>
          </w:p>
        </w:tc>
        <w:tc>
          <w:p/>
          <w:p>
            <w:pPr>
              <w:spacing w:after="0" w:before="0" w:lineRule="auto" w:line="276"/>
              <w:jc w:val="left"/>
            </w:pPr>
            <w:r>
              <w:rPr>
                <w:rFonts w:ascii="Times New Roman" w:hAnsi="Times New Roman" w:cs="Times New Roman" w:eastAsia="Times New Roman"/>
                <w:b w:val="false"/>
                <w:sz w:val="26"/>
              </w:rPr>
              <w:t>Thông tư 199/2016/TT-BTC</w:t>
            </w:r>
          </w:p>
        </w:tc>
        <w:tc>
          <w:p/>
          <w:p>
            <w:pPr>
              <w:spacing w:after="0" w:before="0" w:lineRule="auto" w:line="276"/>
              <w:jc w:val="left"/>
            </w:pPr>
            <w:r>
              <w:rPr>
                <w:rFonts w:ascii="Times New Roman" w:hAnsi="Times New Roman" w:cs="Times New Roman" w:eastAsia="Times New Roman"/>
                <w:b w:val="false"/>
                <w:sz w:val="26"/>
              </w:rPr>
              <w:t>08-11-2016</w:t>
            </w:r>
          </w:p>
        </w:tc>
        <w:tc>
          <w:p/>
        </w:tc>
      </w:tr>
      <w:tr>
        <w:tc>
          <w:p/>
          <w:p>
            <w:pPr>
              <w:spacing w:after="0" w:before="0" w:lineRule="auto" w:line="276"/>
              <w:jc w:val="left"/>
            </w:pPr>
            <w:r>
              <w:rPr>
                <w:rFonts w:ascii="Times New Roman" w:hAnsi="Times New Roman" w:cs="Times New Roman" w:eastAsia="Times New Roman"/>
                <w:b w:val="false"/>
                <w:sz w:val="26"/>
              </w:rPr>
              <w:t>237/2016/TT-BTC</w:t>
            </w:r>
          </w:p>
        </w:tc>
        <w:tc>
          <w:p/>
          <w:p>
            <w:pPr>
              <w:spacing w:after="0" w:before="0" w:lineRule="auto" w:line="276"/>
              <w:jc w:val="left"/>
            </w:pPr>
            <w:r>
              <w:rPr>
                <w:rFonts w:ascii="Times New Roman" w:hAnsi="Times New Roman" w:cs="Times New Roman" w:eastAsia="Times New Roman"/>
                <w:b w:val="false"/>
                <w:sz w:val="26"/>
              </w:rPr>
              <w:t>Thông tư 237/2016/TT-BTC</w:t>
            </w:r>
          </w:p>
        </w:tc>
        <w:tc>
          <w:p/>
          <w:p>
            <w:pPr>
              <w:spacing w:after="0" w:before="0" w:lineRule="auto" w:line="276"/>
              <w:jc w:val="left"/>
            </w:pPr>
            <w:r>
              <w:rPr>
                <w:rFonts w:ascii="Times New Roman" w:hAnsi="Times New Roman" w:cs="Times New Roman" w:eastAsia="Times New Roman"/>
                <w:b w:val="false"/>
                <w:sz w:val="26"/>
              </w:rPr>
              <w:t>11-11-2016</w:t>
            </w:r>
          </w:p>
        </w:tc>
        <w:tc>
          <w:p/>
        </w:tc>
      </w:tr>
      <w:tr>
        <w:tc>
          <w:p/>
          <w:p>
            <w:pPr>
              <w:spacing w:after="0" w:before="0" w:lineRule="auto" w:line="276"/>
              <w:jc w:val="left"/>
            </w:pPr>
            <w:r>
              <w:rPr>
                <w:rFonts w:ascii="Times New Roman" w:hAnsi="Times New Roman" w:cs="Times New Roman" w:eastAsia="Times New Roman"/>
                <w:b w:val="false"/>
                <w:sz w:val="26"/>
              </w:rPr>
              <w:t>16/2023/TT-BGTVT</w:t>
            </w:r>
          </w:p>
        </w:tc>
        <w:tc>
          <w:p/>
          <w:p>
            <w:pPr>
              <w:spacing w:after="0" w:before="0" w:lineRule="auto" w:line="276"/>
              <w:jc w:val="left"/>
            </w:pPr>
            <w:r>
              <w:rPr>
                <w:rFonts w:ascii="Times New Roman" w:hAnsi="Times New Roman" w:cs="Times New Roman" w:eastAsia="Times New Roman"/>
                <w:b w:val="false"/>
                <w:sz w:val="26"/>
              </w:rPr>
              <w:t>Thông tư 16/2023/TT-BGTVT về Sửa đổi, bổ sung một số điều của các Thông tư quy định về  đăng kiểm phương tiện thuỷ nội địa</w:t>
            </w:r>
          </w:p>
        </w:tc>
        <w:tc>
          <w:p/>
          <w:p>
            <w:pPr>
              <w:spacing w:after="0" w:before="0" w:lineRule="auto" w:line="276"/>
              <w:jc w:val="left"/>
            </w:pPr>
            <w:r>
              <w:rPr>
                <w:rFonts w:ascii="Times New Roman" w:hAnsi="Times New Roman" w:cs="Times New Roman" w:eastAsia="Times New Roman"/>
                <w:b w:val="false"/>
                <w:sz w:val="26"/>
              </w:rPr>
              <w:t>30-06-2023</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26/2024/TT-BGTVT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20/2022/TT-BGTVT ngày 29 tháng 7 năm 2022 của Bộ trưởng Bộ Giao thông vận tải quy định về các biểu mẫu giấy chứng nhận, sổ an toàn kỹ thuật và bảo vệ môi trường cấp cho tàu biển, ụ nổi, kho chứa nổi, giàn di động, phương tiện thủy nội địa và sản phẩm công nghiệp sử dụng cho phương tiện thủy nội địa.</w:t>
            </w:r>
          </w:p>
        </w:tc>
        <w:tc>
          <w:p/>
          <w:p>
            <w:pPr>
              <w:spacing w:after="0" w:before="0" w:lineRule="auto" w:line="276"/>
              <w:jc w:val="left"/>
            </w:pPr>
            <w:r>
              <w:rPr>
                <w:rFonts w:ascii="Times New Roman" w:hAnsi="Times New Roman" w:cs="Times New Roman" w:eastAsia="Times New Roman"/>
                <w:b w:val="false"/>
                <w:sz w:val="26"/>
              </w:rPr>
              <w:t>02-07-2024</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2025-11-27T16:37:24Z</dcterms:created>
  <dc:creator>Apache POI</dc:creator>
</cp:coreProperties>
</file>