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kiểm tra nhà nước về chất lượng đối với sản phẩm, hàng hóa nhóm 2 nhập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cá nhân nộp hồ sơ đăng ký kiểm tra nhà nước về chất lượng hàng hóa nhập khẩu đến cơ quan kiểm tra nhà nước về chất lượng hàng hóa: hồ sơ được gửi đến Bộ Khoa học và Công nghệ (Cục Quản lý chất lượng sản phẩm, hàng hóa, Tổng cục Tiêu chuẩn Đo lường Chất lượng thuộc Bộ Khoa học và Công nghệ - Cơ quan kiểm tra).</w:t>
      </w:r>
    </w:p>
    <w:p>
      <w:pPr>
        <w:spacing w:after="0" w:before="0" w:lineRule="auto" w:line="276"/>
        <w:jc w:val="both"/>
      </w:pPr>
      <w:r>
        <w:rPr>
          <w:rFonts w:ascii="Times New Roman" w:hAnsi="Times New Roman" w:cs="Times New Roman" w:eastAsia="Times New Roman"/>
          <w:b w:val="false"/>
          <w:sz w:val="26"/>
        </w:rPr>
        <w:t>Bước 2: Xử lý hồ sơ
(1) Đối với hàng hóa nhóm 2 nhập khẩu, tại quy chuẩn kỹ thuật quốc gia quy định biện pháp công bố hợp quy theo kết quả tự đánh giá sự phù hợp của tổ chức, cá nhân
- Cơ quan kiểm tra tiếp nhận hồ sơ đăng ký kiểm tra chất lượng hàng hóa nhập khẩu.
- Trong thời hạn 01 ngày làm việc, cơ quan kiểm tra xác nhận người nhập khẩu đã đăng ký kiểm tra chất lượng hàng hóa nhập khẩu trên bản đăng ký của người nhập khẩu. Người nhập khẩu nộp bản đăng ký có xác nhận của cơ quan kiểm tra cho cơ quan hải quan để được phép thông quan hàng hóa;
- Trong thời hạn 15 ngày làm việc kể từ ngày thông quan hàng hóa, người nhập khẩu phải nộp cho cơ quan kiểm tra kết quả tự đánh giá sự phù hợp theo quy định.
Người nhập khẩu phải hoàn toàn chịu trách nhiệm về kết quả tự đánh giá sự phù hợp và bảo đảm hàng hóa phù hợp quy chuẩn kỹ thuật, tiêu chuẩn công bố áp dụng. Trường hợp hàng hóa không phù hợp quy chuẩn kỹ thuật, tiêu chuẩn công bố áp dụng, người nhập khẩu phải kịp thời báo cáo cơ quan kiểm tra, đồng thời tổ chức việc xử lý, thu hồi hàng hóa này theo quy định của pháp luật.
(2) Đối với hàng hóa nhóm 2 nhập khẩu, tại quy chuẩn kỹ thuật quốc gia quy định biện pháp công bố hợp quy theo kết quả chứng nhận, giám định của tổ chức chứng nhận, tổ chức giám định đã đăng ký hoặc được thừa nhận theo quy định của pháp luật
- Cơ quan kiểm tra tiếp nhận hồ sơ đăng ký kiểm tra chất lượng hàng hóa nhập khẩu.
- Trong thời hạn 01 ngày làm việc, cơ quan kiểm tra xác nhận người nhập khẩu đã đăng ký kiểm tra chất lượng hàng hóa nhập khẩu trên bản đăng ký của người nhập khẩu. Người nhập khẩu nộp bản đăng ký có xác nhận của cơ quan kiểm tra cho cơ quan hải quan để được phép thông quan hàng hóa;
Trong thời hạn 15 ngày làm việc kể từ ngày thông quan hàng hóa, người nhập khẩu phải nộp cho cơ quan kiểm tra bản sao y bản chính (có ký tên và đóng dấu của người nhập khẩu) chứng chỉ chất lượng (Giấy chứng nhận phù hợp quy chuẩn kỹ thuật của tổ chức chứng nhận hoặc Chứng thư giám định phù hợp quy chuẩn kỹ thuật của tổ chức giám định).
Trường hợp, hàng hóa đã được tổ chức chứng nhận đánh giá tại nước xuất khẩu, trong thời hạn 03 ngày làm việc kể từ ngày thông quan, người nhập khẩu phải nộp bản sao y bản chính (có ký tên và đóng dấu của người nhập khẩu) Giấy chứng nhận phù hợp quy chuẩn kỹ thuật cho cơ quan kiểm tra. Người nhập khẩu phải hoàn toàn chịu trách nhiệm và bảo đảm hàng hóa phù hợp quy chuẩn kỹ thuật, tiêu chuẩn công bố áp dụng. Trường hợp hàng hóa không phù hợp quy chuẩn kỹ thuật, tiêu chuẩn công bố áp dụng, người nhập khẩu phải kịp thời báo cáo cơ quan kiểm tra, đồng thời tổ chức việc xử lý, thu hồi hàng hóa này theo quy định của pháp luật.
(3) Đối với hàng hóa nhóm 2 nhập khẩu, tại quy chuẩn kỹ thuật quốc gia quy định biện pháp công bố hợp quy theo kết quả chứng nhận, giám định của tổ chức chứng nhận, tổ chức giám định được chỉ định theo quy định của pháp luật
- b1) Cơ quan kiểm tra tiếp nhận hồ sơ đăng ký kiểm tra chất lượng hàng hóa nhập khẩu theo quy định tại Mẫu số 02 Phụ lục ban hành kèm theo Nghị định 74/2018/NĐ-CP và xác nhận người nhập khẩu đã đăng ký kiểm tra chất lượng hàng hóa nhập khẩu trên bản đăng ký của người nhập khẩu.
- b2)  Cơ quan kiểm tra tiến hành kiểm tra theo các nội dung kiểm tra quy định tại điểm c khoản 2c Điều 7 sửa đổi tại khoản 3 Điều 1 Nghị định 74/2018/NĐ-CP:
- Trường hợp hồ sơ đầy đủ và phù hợp, trong thời hạn 01 ngày làm việc kể từ ngày tiếp nhận hồ sơ đăng ký kiểm tra chất lượng, cơ quan kiểm tra phải ra Thông báo kết quả kiểm tra nhà nước về chất lượng hàng hóa nhập khẩu đáp ứng yêu cầu chất lượng theo quy định tại Mẫu số 03 Phụ lục ban hành kèm theo Nghị định này, gửi tới người nhập khẩu để làm thủ tục thông quan cho lô hàng;
- Trường hợp hồ sơ đầy đủ nhưng không phù hợp, cơ quan kiểm tra xử lý như sau:
+ Trường hợp hàng hóa không đáp ứng yêu cầu về nhãn, cơ quan kiểm tra ra thông báo kết quả kiểm tra nhà nước về chất lượng hàng hóa nhập khẩu không đáp ứng yêu cầu chất lượng theo quy định tại Mẫu số 03 Phụ lục ban hành kèm theo Nghị định này, trong thông báo nêu rõ các nội dung không đạt yêu cầu gửi tới người nhập khẩu, đồng thời yêu cầu người nhập khẩu khắc phục về nhãn hàng hóa trong thời hạn không quá 05 ngày làm việc. Cơ quan kiểm tra chỉ cấp thông báo lô hàng nhập khẩu đáp ứng yêu cầu chất lượng khi người nhập khẩu có bằng chứng khắc phục;
+ Trường hợp hàng hóa nhập khẩu có chứng chỉ chất lượng không phù hợp với hồ sơ của lô hàng nhập khẩu hoặc chứng chỉ chất lượng không phù hợp với tiêu chuẩn công bố áp dụng, quy chuẩn kỹ thuật tương ứng, cơ quan kiểm tra ra thông báo kết quả kiểm tra nhà nước về chất lượng hàng hóa nhập khẩu không đáp ứng yêu cầu chất lượng theo quy định tại Mẫu số 03 Phụ lục ban hành kèm theo Nghị định này, trong thông báo nêu rõ các nội dung khôngđạt yêu cầu gửi tới cơ quan hải quan và người nhập khẩu. Đồng thời báo cáo cơ quan quản lý có thẩm quyền để xử lý theo quy định tại Khoản 2 Điều 8 Nghị định này;
- Trường hợp hồ sơ không đầy đủ, cơ quan kiểm tra xác nhận các hạng mục hồ sơ còn thiếu trong phiếu tiếp nhận hồ sơ và yêu cầu người nhập khẩu bổ sung, hoàn thiện hồ sơ trong thời hạn 15 ngày làm việc, nếu quá thời hạn mà vẫn chưa bổ sung đủ hồ sơ thì người nhập khẩu phải có văn bản gửi cơ quan kiểm tra nêu rõ lý do và thời gian hoàn thành. Các bước kiểm tra tiếp theo chỉ được thực hiện sau khi người nhập khẩu hoàn thiện đầy đủ hồ sơ.
Trường hợp người nhập khẩu không hoàn thiện đầy đủ hồ sơ trong thời hạn quy định, trong thời hạn 01 ngày làm việc kể từ khi hết thời hạn bổ sung hồ sơ, cơ quan kiểm tra ra thông báo kết quả kiểm tra nhà nước về chất lượng hàng hóa nhập khẩu theo quy định tại Mẫu số 03 Phụ lục ban hành kèm theo Nghị định này. Trong thông báo nêu rõ “Lô hàng không hoàn thiện đầy đủ hồ sơ” gửi tới người nhập khẩu và cơ quan hải quan. Đồng thời chủ trì, phối hợp cơ quan kiểm tra có thẩm quyền tiến hành kiểm tra đột xuất về chất lượng hàng hóa tại cơ sở của người nhập khẩu.
- Trường hợp, người nhập khẩu thực hiện đăng ký kiểm tra chất lượng trên Cổng thông tin một cửa quốc gia thì thực hiện đăng ký kiểm tra và trả kết quả kiểm tra chất lượng thông qua Cổng thông tin một cửa quốc gia.
Trường hợp hàng hóa nhập khẩu đang được áp dụng biện pháp quy định tại khoản 2a hoặc khoản 2b Điều 7 sửa đổi tại tại khoản 3 Điều 1 Nghị định 74/2018/NĐ-CP, nếu phát hiện chất lượng không bảo đảm, gây mất an toàn cho người, động vật, thực vật, tài sản, môi trường hoặc khi có khiếu nại, tố cáo về hoạt động sản xuất hoặc nhập khẩu thì áp dụng biện pháp kiểm tra ở mức độ chặt chẽ hơn đối với hàng hóa nhập khẩu đó.</w:t>
      </w:r>
    </w:p>
    <w:p>
      <w:pPr>
        <w:spacing w:after="0" w:before="0" w:lineRule="auto" w:line="276"/>
        <w:jc w:val="both"/>
      </w:pPr>
      <w:r>
        <w:rPr>
          <w:rFonts w:ascii="Times New Roman" w:hAnsi="Times New Roman" w:cs="Times New Roman" w:eastAsia="Times New Roman"/>
          <w:b w:val="false"/>
          <w:sz w:val="26"/>
        </w:rPr>
        <w:t>Bước 3: Trả kết quả
Trả kết quả trực tiếp tại trụ sở Cơ quan kiểm tra hoặc theo đường bưu điện hoặc trên Cổng thông tin một cửa quốc gia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hàng hóa nhóm 2 nhập khẩu, tại quy chuẩn kỹ thuật quốc gia quy định biện pháp công bố hợp quy theo: kết quả tự đánh giá sự phù hợp của tổ chức, cá nhân; kết quả chứng nhận, giám định của tổ chức chứng nhận, tổ chức giám định đã đăng ký hoặc được thừa nhận theo quy định của pháp luật.
- Xác nhận người nhập khẩu đã đăng ký kiểm tra chất lượng hàng hóa nhập khẩu trên bản đăng ký của người nhập khẩu.
* Đối với hàng hóa nhóm 2 nhập khẩu, tại quy chuẩn kỹ thuật quốc gia quy định biện pháp công bố hợp quy theo kết quả chứng nhận, giám định của tổ chức chứng nhận, tổ chức giám định được chỉ định theo quy định của pháp luật:
- Thông báo kết quả kiểm tra nhà nước về chất lượng hàng hóa nhập khẩu.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Thực hiện trên Cổng thông tin một cửa quốc gia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hàng hóa nhóm 2 nhập khẩu, tại quy chuẩn kỹ thuật quốc gia quy định biện pháp công bố hợp quy theo: kết quả tự đánh giá sự phù hợp của tổ chức, cá nhân; kết quả chứng nhận, giám định của tổ chức chứng nhận, tổ chức giám định đã đăng ký hoặc được thừa nhận theo quy định của pháp luật.
- Xác nhận người nhập khẩu đã đăng ký kiểm tra chất lượng hàng hóa nhập khẩu trên bản đăng ký của người nhập khẩu.
* Đối với hàng hóa nhóm 2 nhập khẩu, tại quy chuẩn kỹ thuật quốc gia quy định biện pháp công bố hợp quy theo kết quả chứng nhận, giám định của tổ chức chứng nhận, tổ chức giám định được chỉ định theo quy định của pháp luật:
- Thông báo kết quả kiểm tra nhà nước về chất lượng hàng hóa nhập khẩu.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kiểm tra nhà nước về chất lượng hàng hóa nhập khẩu và cam kết chất lượng hàng hóa phù hợp với quy chuẩn kỹ thuật, tiêu chuẩn công bố áp dụng theo quy định tại Mẫu số 01 Phụ lục ban hành kèm theo Nghị định 74/2018/NĐ-CP tại cơ quan kiểm tra chất lượng sản phẩm, hàng hóa (sau đây viết tắt là cơ quan kiểm tra) và kèm theo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Danh mục hàng hóa (nếu có);</w:t>
            </w:r>
          </w:p>
        </w:tc>
        <w:tc>
          <w:p/>
          <w:p>
            <w:pPr>
              <w:spacing w:after="0" w:before="0" w:lineRule="auto" w:line="276"/>
              <w:jc w:val="left"/>
            </w:pPr>
            <w:r>
              <w:rPr>
                <w:rFonts w:ascii="Times New Roman" w:hAnsi="Times New Roman" w:cs="Times New Roman" w:eastAsia="Times New Roman"/>
                <w:b w:val="false"/>
                <w:sz w:val="26"/>
              </w:rPr>
              <w:t>ĐĂNG KÝ KIỂM TRA NHÀ NƯỚC VỀ CHẤT LƯỢNG HÀNG HÓA NHẬP KHẨU.docx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xác nhận của người nhập khẩu) vận đơn, hóa đơn, tờ khai hàng hóa nhập khẩu (nếu có);</w:t>
            </w:r>
          </w:p>
        </w:tc>
        <w:tc>
          <w:p/>
          <w:p>
            <w:pPr>
              <w:spacing w:after="0" w:before="0" w:lineRule="auto" w:line="276"/>
              <w:jc w:val="left"/>
            </w:pPr>
            <w:r>
              <w:rPr>
                <w:rFonts w:ascii="Times New Roman" w:hAnsi="Times New Roman" w:cs="Times New Roman" w:eastAsia="Times New Roman"/>
                <w:b w:val="false"/>
                <w:sz w:val="26"/>
              </w:rPr>
              <w:t>PHIẾU TIẾP NHẬN HỒ SƠ ĐĂNG KÝ KIỂM TRA CHẤT LƯỢNG HÀNG HÓA NHẬP KHẨU.docx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chỉ chất lượng của nước xuất khẩu (giấy chứng nhận chất lượng, kết quả thử nghiệm)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xuất xứ (nếu có), ảnh hoặc bản mô tả hàng hóa có các nội dung bắt buộc phải thể hiện trên nhãn hàng hóa và nhãn phụ (nếu nhãn chính chưa đủ nội dung theo quy định)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nhận lưu hành tự do CFS (nếu có). Người nhập khẩu hoàn toàn chịu trách nhiệm trước pháp luật về chất lượng hàng hóa do mình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 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kiểm tra nhà nước về chất lượng hàng hóa nhập khẩu, Đăng ký kiểm tra nhà nước về chất lượng hàng hóa nhập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43/2017/NĐ-CP</w:t>
            </w:r>
          </w:p>
        </w:tc>
        <w:tc>
          <w:p/>
          <w:p>
            <w:pPr>
              <w:spacing w:after="0" w:before="0" w:lineRule="auto" w:line="276"/>
              <w:jc w:val="left"/>
            </w:pPr>
            <w:r>
              <w:rPr>
                <w:rFonts w:ascii="Times New Roman" w:hAnsi="Times New Roman" w:cs="Times New Roman" w:eastAsia="Times New Roman"/>
                <w:b w:val="false"/>
                <w:sz w:val="26"/>
              </w:rPr>
              <w:t>Nghị định 43/2017/NĐ-CP</w:t>
            </w:r>
          </w:p>
        </w:tc>
        <w:tc>
          <w:p/>
          <w:p>
            <w:pPr>
              <w:spacing w:after="0" w:before="0" w:lineRule="auto" w:line="276"/>
              <w:jc w:val="left"/>
            </w:pPr>
            <w:r>
              <w:rPr>
                <w:rFonts w:ascii="Times New Roman" w:hAnsi="Times New Roman" w:cs="Times New Roman" w:eastAsia="Times New Roman"/>
                <w:b w:val="false"/>
                <w:sz w:val="26"/>
              </w:rPr>
              <w:t>14-04-2017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w:t>
            </w:r>
          </w:p>
        </w:tc>
        <w:tc>
          <w:p/>
          <w:p>
            <w:pPr>
              <w:spacing w:after="0" w:before="0" w:lineRule="auto" w:line="276"/>
              <w:jc w:val="left"/>
            </w:pPr>
            <w:r>
              <w:rPr>
                <w:rFonts w:ascii="Times New Roman" w:hAnsi="Times New Roman" w:cs="Times New Roman" w:eastAsia="Times New Roman"/>
                <w:b w:val="false"/>
                <w:sz w:val="26"/>
              </w:rPr>
              <w:t>09-11-2018</w:t>
            </w:r>
          </w:p>
        </w:tc>
        <w:tc>
          <w:p/>
        </w:tc>
      </w:tr>
      <w:tr>
        <w:tc>
          <w:p/>
          <w:p>
            <w:pPr>
              <w:spacing w:after="0" w:before="0" w:lineRule="auto" w:line="276"/>
              <w:jc w:val="left"/>
            </w:pPr>
            <w:r>
              <w:rPr>
                <w:rFonts w:ascii="Times New Roman" w:hAnsi="Times New Roman" w:cs="Times New Roman" w:eastAsia="Times New Roman"/>
                <w:b w:val="false"/>
                <w:sz w:val="26"/>
              </w:rPr>
              <w:t>06/2020/TT-BKHCN</w:t>
            </w:r>
          </w:p>
        </w:tc>
        <w:tc>
          <w:p/>
          <w:p>
            <w:pPr>
              <w:spacing w:after="0" w:before="0" w:lineRule="auto" w:line="276"/>
              <w:jc w:val="left"/>
            </w:pPr>
            <w:r>
              <w:rPr>
                <w:rFonts w:ascii="Times New Roman" w:hAnsi="Times New Roman" w:cs="Times New Roman" w:eastAsia="Times New Roman"/>
                <w:b w:val="false"/>
                <w:sz w:val="26"/>
              </w:rPr>
              <w:t>Thông tư 06/2020/TT-BKHCN</w:t>
            </w:r>
          </w:p>
        </w:tc>
        <w:tc>
          <w:p/>
          <w:p>
            <w:pPr>
              <w:spacing w:after="0" w:before="0" w:lineRule="auto" w:line="276"/>
              <w:jc w:val="left"/>
            </w:pPr>
            <w:r>
              <w:rPr>
                <w:rFonts w:ascii="Times New Roman" w:hAnsi="Times New Roman" w:cs="Times New Roman" w:eastAsia="Times New Roman"/>
                <w:b w:val="false"/>
                <w:sz w:val="26"/>
              </w:rPr>
              <w:t>10-12-2020</w:t>
            </w:r>
          </w:p>
        </w:tc>
        <w:tc>
          <w:p/>
        </w:tc>
      </w:tr>
      <w:tr>
        <w:tc>
          <w:p/>
          <w:p>
            <w:pPr>
              <w:spacing w:after="0" w:before="0" w:lineRule="auto" w:line="276"/>
              <w:jc w:val="left"/>
            </w:pPr>
            <w:r>
              <w:rPr>
                <w:rFonts w:ascii="Times New Roman" w:hAnsi="Times New Roman" w:cs="Times New Roman" w:eastAsia="Times New Roman"/>
                <w:b w:val="false"/>
                <w:sz w:val="26"/>
              </w:rPr>
              <w:t>74/2018/NĐ-CP</w:t>
            </w:r>
          </w:p>
        </w:tc>
        <w:tc>
          <w:p/>
          <w:p>
            <w:pPr>
              <w:spacing w:after="0" w:before="0" w:lineRule="auto" w:line="276"/>
              <w:jc w:val="left"/>
            </w:pPr>
            <w:r>
              <w:rPr>
                <w:rFonts w:ascii="Times New Roman" w:hAnsi="Times New Roman" w:cs="Times New Roman" w:eastAsia="Times New Roman"/>
                <w:b w:val="false"/>
                <w:sz w:val="26"/>
              </w:rPr>
              <w:t>Nghị định 74/2018/NĐ-CP</w:t>
            </w:r>
          </w:p>
        </w:tc>
        <w:tc>
          <w:p/>
          <w:p>
            <w:pPr>
              <w:spacing w:after="0" w:before="0" w:lineRule="auto" w:line="276"/>
              <w:jc w:val="left"/>
            </w:pPr>
            <w:r>
              <w:rPr>
                <w:rFonts w:ascii="Times New Roman" w:hAnsi="Times New Roman" w:cs="Times New Roman" w:eastAsia="Times New Roman"/>
                <w:b w:val="false"/>
                <w:sz w:val="26"/>
              </w:rPr>
              <w:t>15-05-2018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2025-11-27T16:37:24Z</dcterms:created>
  <dc:creator>Apache POI</dc:creator>
</cp:coreProperties>
</file>