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Mở cảng hàng không, sân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Người khai thác cảng hàng không, sân bay gửi 01 bộ hồ sơ đề nghị mở cảng hàng không, sân bay trực tiếp, qua hệ thống bưu chính hoặc các hình thức phù hợp khác đến Bộ Xây dựng.
b) Giải quyết thủ tục hành chính:
Trong thời hạn 12 ngày, kể từ ngày nhận được đầy đủ hồ sơ đề nghị mở cảng hàng không, sân bay, Bộ Xây dựng tổ chức thẩm định, trình Thủ tướng Chính phủ quyết định mở cảng hàng không, sân bay. Trường hợp không chấp thuận mở cảng hàng không, sân bay, Bộ Xây dựng phải có văn bản trả lời người đề nghị,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12 ngày, kể từ ngày nhận được đầy đủ hồ sơ đề nghị mở cảng hàng không, sân bay, Bộ Xây dựng tổ chức thẩm định, trình Thủ tướng Chính phủ quyết định mở cảng hàng không, sân bay. Trường hợp không chấp thuận mở cảng hàng không, sân bay, Bộ Giao thông vận tải phải có văn bản trả lời người đề nghị,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12 ngày, kể từ ngày nhận được đầy đủ hồ sơ đề nghị mở cảng hàng không, sân bay, Bộ Xây dựng tổ chức thẩm định, trình Thủ tướng Chính phủ quyết định mở cảng hàng không, sân bay. Trường hợp không chấp thuận mở cảng hàng không, sân bay, Bộ Giao thông vận tải phải có văn bản trả lời người đề nghị,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12 ngày, kể từ ngày nhận được đầy đủ hồ sơ đề nghị mở cảng hàng không, sân bay, Bộ Xây dựng tổ chức thẩm định, trình Thủ tướng Chính phủ quyết định mở cảng hàng không, sân bay. Trường hợp không chấp thuận mở cảng hàng không, sân bay, Bộ Giao thông vận tải phải có văn bản trả lời người đề nghị,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bao gồm các nội dung: Tên cảng hàng không, sân bay; vị trí, quy mô, loại hình cảng hàng không, sân bay; cấp sân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không, sân bay: 	+ Cảng hàng không, sân bay đã được cấp giấy chứng nhận đăng ký, giấy chứng nhận khai thác cảng hàng không, sân bay theo quy định; 	+ Cảng hàng không, sân bay đã được cơ quan nhà nước có thẩm quyền phê chuẩn vùng trời, đường bay và phương thức bay phục vụ khai thác sân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Xây dựng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mở cảng hàng không, sân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Luật 61/2014/QH13</w:t>
            </w:r>
          </w:p>
        </w:tc>
        <w:tc>
          <w:p/>
          <w:p>
            <w:pPr>
              <w:spacing w:after="0" w:before="0" w:lineRule="auto" w:line="276"/>
              <w:jc w:val="left"/>
            </w:pPr>
            <w:r>
              <w:rPr>
                <w:rFonts w:ascii="Times New Roman" w:hAnsi="Times New Roman" w:cs="Times New Roman" w:eastAsia="Times New Roman"/>
                <w:b w:val="false"/>
                <w:sz w:val="26"/>
              </w:rPr>
              <w:t>21-11-2014</w:t>
            </w:r>
          </w:p>
        </w:tc>
        <w:tc>
          <w:p/>
        </w:tc>
      </w:tr>
      <w:tr>
        <w:tc>
          <w:p/>
          <w:p>
            <w:pPr>
              <w:spacing w:after="0" w:before="0" w:lineRule="auto" w:line="276"/>
              <w:jc w:val="left"/>
            </w:pPr>
            <w:r>
              <w:rPr>
                <w:rFonts w:ascii="Times New Roman" w:hAnsi="Times New Roman" w:cs="Times New Roman" w:eastAsia="Times New Roman"/>
                <w:b w:val="false"/>
                <w:sz w:val="26"/>
              </w:rPr>
              <w:t>05/2021/NĐ-CP</w:t>
            </w:r>
          </w:p>
        </w:tc>
        <w:tc>
          <w:p/>
          <w:p>
            <w:pPr>
              <w:spacing w:after="0" w:before="0" w:lineRule="auto" w:line="276"/>
              <w:jc w:val="left"/>
            </w:pPr>
            <w:r>
              <w:rPr>
                <w:rFonts w:ascii="Times New Roman" w:hAnsi="Times New Roman" w:cs="Times New Roman" w:eastAsia="Times New Roman"/>
                <w:b w:val="false"/>
                <w:sz w:val="26"/>
              </w:rPr>
              <w:t>Nghị định 05/2021/NĐ-CP</w:t>
            </w:r>
          </w:p>
        </w:tc>
        <w:tc>
          <w:p/>
          <w:p>
            <w:pPr>
              <w:spacing w:after="0" w:before="0" w:lineRule="auto" w:line="276"/>
              <w:jc w:val="left"/>
            </w:pPr>
            <w:r>
              <w:rPr>
                <w:rFonts w:ascii="Times New Roman" w:hAnsi="Times New Roman" w:cs="Times New Roman" w:eastAsia="Times New Roman"/>
                <w:b w:val="false"/>
                <w:sz w:val="26"/>
              </w:rPr>
              <w:t>25-01-2021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cho phép mở cảng hàng không, sân bay:
- Cảng hàng không, sân bay đã được cấp giấy chứng nhận đăng ký, giấy chứng nhận khai thác cảng hàng không, sân bay theo quy định;
- Cảng hàng không, sân bay đã được cơ quan nhà nước có thẩm quyền phê chuẩn vùng trời, đường bay và phương thức bay phục vụ khai thác sân bay.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2025-11-27T16:37:25Z</dcterms:created>
  <dc:creator>Apache POI</dc:creator>
</cp:coreProperties>
</file>