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Xác định trường hợp được bồi thường do xảy ra tai biến trong tiêm chủng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người được tiêm chủng hoặc thân nhân của người được tiêm chủng cho rằng mình hoặc thân nhân của mình thuộc trường hợp quy định tại khoản 2 Điều 15 Nghị định 104/2016/NĐ-CP thì phải chuẩn bị và gửi hồ sơ cho Sở Y tế</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được đơn và các giấy tờ hợp lệ, nếu xác định yêu cầu thuộc trách nhiệm giải quyết của mình thì Sở Y tế phải thụ lý và thông báo bằng văn bản về việc thụ lý đơn cho người bị thiệt hại hoặc thân nhân của người bị thiệt hại (sau đây gọi tắt là người bị thiệt hại). Trường hợp hồ sơ không đầy đủ thì Sở Y tế có văn bản hướng dẫn người bị thiệt hại bổ sung</w:t>
      </w:r>
    </w:p>
    <w:p>
      <w:pPr>
        <w:spacing w:after="0" w:before="0" w:lineRule="auto" w:line="276"/>
        <w:jc w:val="both"/>
      </w:pPr>
      <w:r>
        <w:rPr>
          <w:rFonts w:ascii="Times New Roman" w:hAnsi="Times New Roman" w:cs="Times New Roman" w:eastAsia="Times New Roman"/>
          <w:b w:val="false"/>
          <w:sz w:val="26"/>
        </w:rPr>
        <w:t>Trong thời hạn 15 ngày, kể từ ngày nhận được đơn yêu cầu của người bị thiệt hại, Sở Y tế phải hoàn thành việc xác định nguyên nhân gây tai biến, mức độ tổn thương và thông báo bằng văn bản cho người yêu cầu đồng thời báo cáo Bộ Y tế</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hồ sơ đầy đủ và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yêu cầu xác định nguyên nhân gây tai biến và mức độ tổn thương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Phiếu, sổ xác nhận tiêm chủng loại vắc xin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ra viện, hóa đơn thanh toán chi phí khám bệnh, chữa bệnh, phục hồi chức năng, vận chuyển bệnh nhân (bản chính hoặc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tử (trong trường hợp bị tử vong)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giấy tờ khác có liên quan chứng minh tai biến hoặc thiệt hại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03/2007/QH12</w:t>
            </w:r>
          </w:p>
        </w:tc>
        <w:tc>
          <w:p/>
          <w:p>
            <w:pPr>
              <w:spacing w:after="0" w:before="0" w:lineRule="auto" w:line="276"/>
              <w:jc w:val="left"/>
            </w:pPr>
            <w:r>
              <w:rPr>
                <w:rFonts w:ascii="Times New Roman" w:hAnsi="Times New Roman" w:cs="Times New Roman" w:eastAsia="Times New Roman"/>
                <w:b w:val="false"/>
                <w:sz w:val="26"/>
              </w:rPr>
              <w:t>Luật 03/2007/QH12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104/2016/NĐ-CP</w:t>
            </w:r>
          </w:p>
        </w:tc>
        <w:tc>
          <w:p/>
          <w:p>
            <w:pPr>
              <w:spacing w:after="0" w:before="0" w:lineRule="auto" w:line="276"/>
              <w:jc w:val="left"/>
            </w:pPr>
            <w:r>
              <w:rPr>
                <w:rFonts w:ascii="Times New Roman" w:hAnsi="Times New Roman" w:cs="Times New Roman" w:eastAsia="Times New Roman"/>
                <w:b w:val="false"/>
                <w:sz w:val="26"/>
              </w:rPr>
              <w:t>Nghị định 104/2016/NĐ-CP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2025-11-27T16:37:46Z</dcterms:created>
  <dc:creator>Apache POI</dc:creator>
</cp:coreProperties>
</file>