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3771/QĐ-BYT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Cung cấp thuốc phóng xạ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khám bệnh, chữa bệnh cung cấp thuốc phóng xạ nộp 01 bộ hồ sơ trực tiếp, trực tuyến hoặc qua bưu điện về Sở Y tế nơi cơ sở đặt địa điểm. 
Bước 2: Sở Y tế nơi đặt địa điểm cơ sở khám bệnh, chữa bệnh cung cấp thuốc phóng xạ trả cho cơ sở đề nghị Phiếu tiếp nhận hồ sơ theo mẫu phiếu quy định tại Phụ lục XV kèm theo Thông tư.
Bước 3: Trong thời hạn 15 ngày kể từ ngày ghi trên Phiếu tiếp nhận hồ sơ, trường hợp không có yêu cầu sửa đổi, bổ sung hồ sơ, Sở Y tế nơi đặt địa điểm cơ sở khám bệnh, chữa bệnh cung cấp thuốc phóng xạ có văn bản chấp thuận việc cung cấp thuốc của cơ sở; trường hợp có yêu cầu sửa đổi, bổ sung hồ sơ, Sở Y tế nơi đặt địa điểm cơ sở khám bệnh, chữa bệnh cung cấp thuốc phóng xạ có văn bản gửi cơ sở đề nghị, trong đó nêu cụ thể các tài liệu, nội dung cần sửa đổi, bổ sung.
Bước 4: Sau khi cơ sở nộp hồ sơ sửa đổi, bổ sung, Sở Y tế nơi đặt địa điểm cơ sở khám bệnh, chữa bệnh cung cấp thuốc phóng xạ trả cho cơ sở Phiếu tiếp nhận hồ sơ sửa đổi, bổ sung theo mẫu phiếu quy định tại Phụ lục XV kèm theo Thông tư.
a) Trường hợp hồ sơ sửa đổi, bổ sung không đáp ứng yêu cầu, Sở Y tế nơi đặt địa điểm cơ sở khám bệnh, chữa bệnh cung cấp thuốc phóng xạ có văn bản thông báo cho cơ sở theo quy định tại Bước 3;
b) Trường hợp không có yêu cầu sửa đổi, bổ sung đối với hồ sơ sửa đổi, bổ sung, Sở Y tế nơi đặt địa điểm cơ sở khám bệnh, chữa bệnh cung cấp thuốc phóng xạ có văn bản chấp thuận việc cung cấp thuốc của cơ sở theo quy định tại Bước 3. 
Trong thời hạn 60 ngày, kể từ ngày cơ quan tiếp nhận hồ sơ có văn bản thông báo sửa đổi, bổ sung, cơ sở đề nghị phải nộp hồ sơ sửa đổi, bổ sung theo yêu cầu. Sau thời hạn trên, cơ sở không sửa đổi, bổ sung hoặc sau 90 ngày kể từ ngày nộp hồ sơ lần đầu mà hồ sơ bổ sung không đáp ứng yêu cầu thì hồ sơ đã nộp không còn giá trị.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cung cấp thuốc phóng xạ của cơ sở khám bệnh, chữa bệnh theo Mẫu Đơn quy định tại Phụ lục XIII ban hành kèm theo Thông tư</w:t>
            </w:r>
          </w:p>
        </w:tc>
        <w:tc>
          <w:p/>
          <w:p>
            <w:pPr>
              <w:spacing w:after="0" w:before="0" w:lineRule="auto" w:line="276"/>
              <w:jc w:val="left"/>
            </w:pPr>
            <w:r>
              <w:rPr>
                <w:rFonts w:ascii="Times New Roman" w:hAnsi="Times New Roman" w:cs="Times New Roman" w:eastAsia="Times New Roman"/>
                <w:b w:val="false"/>
                <w:sz w:val="26"/>
              </w:rPr>
              <w:t>PhlcXIII.docx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việc sản xuất, pha chế, sử dụng thuốc phóng xạ đề nghị cung cấp tại cơ sở khám bệnh, chữa bệnh sản xuất, pha chế, trong đó nêu cụ thể các thông tin về công suất máy, khả năng sản xuất, số lượng thuốc sản xuất, số lượng bệnh nhân sử dụng, số lượng thuốc đã sản xuất nhưng không sử dụng có đóng dấu xác nhận của cơ sở đề nghị theo Mẫu Báo cáo quy định tại Phụ lục XIV ban hành kèm theo Thông tư</w:t>
            </w:r>
          </w:p>
        </w:tc>
        <w:tc>
          <w:p/>
          <w:p>
            <w:pPr>
              <w:spacing w:after="0" w:before="0" w:lineRule="auto" w:line="276"/>
              <w:jc w:val="left"/>
            </w:pPr>
            <w:r>
              <w:rPr>
                <w:rFonts w:ascii="Times New Roman" w:hAnsi="Times New Roman" w:cs="Times New Roman" w:eastAsia="Times New Roman"/>
                <w:b w:val="false"/>
                <w:sz w:val="26"/>
              </w:rPr>
              <w:t>phu luc XIV TT20.2017.docx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Y tế nơi đặt địa điểm cơ sở khám bệnh, chữa bệnh cung cấp thuốc phóng xạ</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đồng ý hoặc không đồng 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54/2017/NĐ-CP</w:t>
            </w:r>
          </w:p>
        </w:tc>
        <w:tc>
          <w:p/>
          <w:p>
            <w:pPr>
              <w:spacing w:after="0" w:before="0" w:lineRule="auto" w:line="276"/>
              <w:jc w:val="left"/>
            </w:pPr>
            <w:r>
              <w:rPr>
                <w:rFonts w:ascii="Times New Roman" w:hAnsi="Times New Roman" w:cs="Times New Roman" w:eastAsia="Times New Roman"/>
                <w:b w:val="false"/>
                <w:sz w:val="26"/>
              </w:rPr>
              <w:t>Nghị định 54/2017/NĐ-CP</w:t>
            </w:r>
          </w:p>
        </w:tc>
        <w:tc>
          <w:p/>
          <w:p>
            <w:pPr>
              <w:spacing w:after="0" w:before="0" w:lineRule="auto" w:line="276"/>
              <w:jc w:val="left"/>
            </w:pPr>
            <w:r>
              <w:rPr>
                <w:rFonts w:ascii="Times New Roman" w:hAnsi="Times New Roman" w:cs="Times New Roman" w:eastAsia="Times New Roman"/>
                <w:b w:val="false"/>
                <w:sz w:val="26"/>
              </w:rPr>
              <w:t>08-05-2017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20/2017/TT-BYT</w:t>
            </w:r>
          </w:p>
        </w:tc>
        <w:tc>
          <w:p/>
          <w:p>
            <w:pPr>
              <w:spacing w:after="0" w:before="0" w:lineRule="auto" w:line="276"/>
              <w:jc w:val="left"/>
            </w:pPr>
            <w:r>
              <w:rPr>
                <w:rFonts w:ascii="Times New Roman" w:hAnsi="Times New Roman" w:cs="Times New Roman" w:eastAsia="Times New Roman"/>
                <w:b w:val="false"/>
                <w:sz w:val="26"/>
              </w:rPr>
              <w:t>Thông tư 20/2017/TT-BYT - Quy định chi tiết một số điều của Luật dược và Nghị định số 54/2017/NĐ-CP ngày 08 tháng 5 năm 2017 của Chính phủ về thuốc và nguyên liệu làm thuốc phải kiểm soát đặc biệt</w:t>
            </w:r>
          </w:p>
        </w:tc>
        <w:tc>
          <w:p/>
          <w:p>
            <w:pPr>
              <w:spacing w:after="0" w:before="0" w:lineRule="auto" w:line="276"/>
              <w:jc w:val="left"/>
            </w:pPr>
            <w:r>
              <w:rPr>
                <w:rFonts w:ascii="Times New Roman" w:hAnsi="Times New Roman" w:cs="Times New Roman" w:eastAsia="Times New Roman"/>
                <w:b w:val="false"/>
                <w:sz w:val="26"/>
              </w:rPr>
              <w:t>10-05-2017</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27/2024/TT-BYT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tc>
        <w:tc>
          <w:p/>
          <w:p>
            <w:pPr>
              <w:spacing w:after="0" w:before="0" w:lineRule="auto" w:line="276"/>
              <w:jc w:val="left"/>
            </w:pPr>
            <w:r>
              <w:rPr>
                <w:rFonts w:ascii="Times New Roman" w:hAnsi="Times New Roman" w:cs="Times New Roman" w:eastAsia="Times New Roman"/>
                <w:b w:val="false"/>
                <w:sz w:val="26"/>
              </w:rPr>
              <w:t>01-11-2024</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Được phép sản xuất, pha chế thuốc phóng xạ theo quy định;
2. Số lượng thuốc sản xuất, pha chế phục vụ cho công tác điều trị tại cơ sở nhiều hơn nhu cầu sử dụng thực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2025-11-27T16:37:54Z</dcterms:created>
  <dc:creator>Apache POI</dc:creator>
</cp:coreProperties>
</file>